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54B5C" w14:textId="47246EC8" w:rsidR="001A7E8D" w:rsidRPr="00507F85" w:rsidRDefault="00507F85" w:rsidP="004867F2">
      <w:pPr>
        <w:spacing w:after="0" w:line="240" w:lineRule="auto"/>
        <w:jc w:val="center"/>
        <w:rPr>
          <w:b/>
          <w:sz w:val="26"/>
          <w:szCs w:val="26"/>
          <w:u w:val="single"/>
          <w:lang w:val="en-US"/>
        </w:rPr>
      </w:pPr>
      <w:r w:rsidRPr="00507F85">
        <w:rPr>
          <w:b/>
          <w:sz w:val="26"/>
          <w:szCs w:val="26"/>
          <w:u w:val="single"/>
          <w:lang w:val="en-US"/>
        </w:rPr>
        <w:t>Annexure A</w:t>
      </w:r>
    </w:p>
    <w:p w14:paraId="5029003B" w14:textId="77777777" w:rsidR="00571659" w:rsidRDefault="00571659" w:rsidP="00CF3780">
      <w:pPr>
        <w:pStyle w:val="ListParagraph"/>
        <w:spacing w:line="240" w:lineRule="auto"/>
      </w:pPr>
    </w:p>
    <w:p w14:paraId="4FFAC25B" w14:textId="6EEC5DAC" w:rsidR="001A7E8D" w:rsidRDefault="00E21ED0" w:rsidP="00CF3780">
      <w:pPr>
        <w:pStyle w:val="ListParagraph"/>
        <w:spacing w:line="240" w:lineRule="auto"/>
        <w:jc w:val="center"/>
        <w:rPr>
          <w:b/>
          <w:u w:val="single"/>
        </w:rPr>
      </w:pPr>
      <w:r w:rsidRPr="00E21ED0">
        <w:rPr>
          <w:b/>
          <w:u w:val="single"/>
        </w:rPr>
        <w:t>Regulated Entities (R</w:t>
      </w:r>
      <w:r w:rsidR="004867F2">
        <w:rPr>
          <w:b/>
          <w:u w:val="single"/>
        </w:rPr>
        <w:t>E</w:t>
      </w:r>
      <w:r w:rsidRPr="00E21ED0">
        <w:rPr>
          <w:b/>
          <w:u w:val="single"/>
        </w:rPr>
        <w:t>s) regarding Cybersecurity best practices</w:t>
      </w:r>
      <w:r w:rsidRPr="001A7E8D">
        <w:rPr>
          <w:b/>
          <w:u w:val="single"/>
        </w:rPr>
        <w:t xml:space="preserve"> </w:t>
      </w:r>
      <w:r w:rsidR="001A7E8D" w:rsidRPr="001A7E8D">
        <w:rPr>
          <w:b/>
          <w:u w:val="single"/>
        </w:rPr>
        <w:t>Compliance Report</w:t>
      </w:r>
    </w:p>
    <w:p w14:paraId="61FEFE9D" w14:textId="4BF63D0E" w:rsidR="00E34B60" w:rsidRPr="001A7E8D" w:rsidRDefault="00E34B60" w:rsidP="00CF3780">
      <w:pPr>
        <w:pStyle w:val="ListParagraph"/>
        <w:spacing w:line="240" w:lineRule="auto"/>
        <w:jc w:val="center"/>
        <w:rPr>
          <w:b/>
          <w:u w:val="single"/>
        </w:rPr>
      </w:pPr>
      <w:r w:rsidRPr="001C7506">
        <w:rPr>
          <w:u w:val="single"/>
        </w:rPr>
        <w:t>(</w:t>
      </w:r>
      <w:r>
        <w:rPr>
          <w:u w:val="single"/>
        </w:rPr>
        <w:t>T</w:t>
      </w:r>
      <w:r w:rsidRPr="001C7506">
        <w:rPr>
          <w:u w:val="single"/>
        </w:rPr>
        <w:t xml:space="preserve">o be printed on </w:t>
      </w:r>
      <w:r w:rsidR="00157E56">
        <w:rPr>
          <w:u w:val="single"/>
        </w:rPr>
        <w:t>member</w:t>
      </w:r>
      <w:r w:rsidR="00D34422">
        <w:rPr>
          <w:u w:val="single"/>
        </w:rPr>
        <w:t>’s</w:t>
      </w:r>
      <w:r w:rsidRPr="001C7506">
        <w:rPr>
          <w:u w:val="single"/>
        </w:rPr>
        <w:t xml:space="preserve"> </w:t>
      </w:r>
      <w:r w:rsidR="00875B27" w:rsidRPr="001C7506">
        <w:rPr>
          <w:u w:val="single"/>
        </w:rPr>
        <w:t>letter</w:t>
      </w:r>
      <w:r w:rsidR="00875B27">
        <w:rPr>
          <w:u w:val="single"/>
        </w:rPr>
        <w:t>head</w:t>
      </w:r>
      <w:r w:rsidRPr="001C7506">
        <w:rPr>
          <w:u w:val="single"/>
        </w:rPr>
        <w:t>)</w:t>
      </w:r>
    </w:p>
    <w:p w14:paraId="0E7AB9E9" w14:textId="77777777" w:rsidR="001A7E8D" w:rsidRDefault="001A7E8D" w:rsidP="00CF3780">
      <w:pPr>
        <w:spacing w:line="240" w:lineRule="auto"/>
        <w:jc w:val="both"/>
      </w:pPr>
      <w:r>
        <w:t>Member ID:</w:t>
      </w:r>
    </w:p>
    <w:p w14:paraId="0CAD8C41" w14:textId="77777777" w:rsidR="00BD5429" w:rsidRDefault="001A7E8D" w:rsidP="00CF3780">
      <w:pPr>
        <w:spacing w:line="240" w:lineRule="auto"/>
        <w:jc w:val="both"/>
      </w:pPr>
      <w:r>
        <w:t>Member Name:</w:t>
      </w:r>
    </w:p>
    <w:p w14:paraId="0C5202FB" w14:textId="719BC60A" w:rsidR="001A7E8D" w:rsidRDefault="001A7E8D" w:rsidP="00CF3780">
      <w:pPr>
        <w:spacing w:line="240" w:lineRule="auto"/>
        <w:jc w:val="both"/>
      </w:pPr>
      <w:r>
        <w:t>Contact Person name:</w:t>
      </w:r>
      <w:r w:rsidR="00BD5429">
        <w:t xml:space="preserve"> (CISO/Compliance Head/Designated Director)</w:t>
      </w:r>
    </w:p>
    <w:p w14:paraId="4506B146" w14:textId="1B13809F" w:rsidR="00392C96" w:rsidRDefault="00392C96" w:rsidP="00CF3780">
      <w:pPr>
        <w:spacing w:line="240" w:lineRule="auto"/>
        <w:jc w:val="both"/>
      </w:pPr>
      <w:r>
        <w:t>Designation of contact person:</w:t>
      </w:r>
      <w:r w:rsidRPr="00392C96">
        <w:t xml:space="preserve"> </w:t>
      </w:r>
      <w:r>
        <w:t>(CISO/Compliance Head/Designated Director)</w:t>
      </w:r>
    </w:p>
    <w:p w14:paraId="4149117A" w14:textId="3079ED64" w:rsidR="001A7E8D" w:rsidRDefault="00875B27" w:rsidP="00CF3780">
      <w:pPr>
        <w:spacing w:line="240" w:lineRule="auto"/>
        <w:jc w:val="both"/>
      </w:pPr>
      <w:r>
        <w:t>Contact Person</w:t>
      </w:r>
      <w:r w:rsidR="001A7E8D">
        <w:t xml:space="preserve"> Mobile no:</w:t>
      </w:r>
      <w:r w:rsidR="00BD5429" w:rsidRPr="00BD5429">
        <w:t xml:space="preserve"> </w:t>
      </w:r>
      <w:r w:rsidR="00BD5429">
        <w:t>(CISO/Compliance Head/Designated Director)</w:t>
      </w:r>
    </w:p>
    <w:p w14:paraId="5094D04C" w14:textId="6821F8CA" w:rsidR="000D2412" w:rsidRDefault="000D2412" w:rsidP="00CF3780">
      <w:pPr>
        <w:spacing w:line="240" w:lineRule="auto"/>
        <w:jc w:val="both"/>
      </w:pPr>
      <w:r>
        <w:t xml:space="preserve">Auditor </w:t>
      </w:r>
      <w:r w:rsidR="00D206DF">
        <w:t>N</w:t>
      </w:r>
      <w:r>
        <w:t>ame</w:t>
      </w:r>
      <w:r w:rsidR="000B2DAC">
        <w:t>:</w:t>
      </w:r>
    </w:p>
    <w:p w14:paraId="7A52526B" w14:textId="317E2A05" w:rsidR="000B2DAC" w:rsidRDefault="000B2DAC" w:rsidP="00CF3780">
      <w:pPr>
        <w:spacing w:line="240" w:lineRule="auto"/>
        <w:jc w:val="both"/>
      </w:pPr>
      <w:r>
        <w:t>Contact no. of auditor:</w:t>
      </w:r>
    </w:p>
    <w:p w14:paraId="501ED7AF" w14:textId="5CACA5D7" w:rsidR="000B2DAC" w:rsidRDefault="00731BAF" w:rsidP="00CF3780">
      <w:pPr>
        <w:spacing w:line="240" w:lineRule="auto"/>
        <w:jc w:val="both"/>
      </w:pPr>
      <w:r>
        <w:t>Email Id of Auditor:</w:t>
      </w:r>
    </w:p>
    <w:p w14:paraId="2B305B4D" w14:textId="77777777" w:rsidR="001A7E8D" w:rsidRDefault="001A7E8D" w:rsidP="00CF3780">
      <w:pPr>
        <w:pStyle w:val="ListParagraph"/>
        <w:spacing w:line="240" w:lineRule="auto"/>
        <w:jc w:val="both"/>
      </w:pPr>
    </w:p>
    <w:p w14:paraId="699F8B25" w14:textId="34F623A7" w:rsidR="00BD5429" w:rsidRDefault="001A7E8D" w:rsidP="00CF3780">
      <w:pPr>
        <w:spacing w:line="240" w:lineRule="auto"/>
        <w:jc w:val="both"/>
      </w:pPr>
      <w:r>
        <w:t>I</w:t>
      </w:r>
      <w:r w:rsidR="00A8709C">
        <w:t xml:space="preserve"> </w:t>
      </w:r>
      <w:r>
        <w:t>/</w:t>
      </w:r>
      <w:r w:rsidR="00A8709C">
        <w:t xml:space="preserve"> </w:t>
      </w:r>
      <w:r>
        <w:t xml:space="preserve">We </w:t>
      </w:r>
      <w:r w:rsidR="003A5130">
        <w:t>hereby</w:t>
      </w:r>
      <w:r>
        <w:t xml:space="preserve"> </w:t>
      </w:r>
      <w:r w:rsidR="003A5130">
        <w:t xml:space="preserve">confirm on </w:t>
      </w:r>
      <w:r>
        <w:t>compliance to the Advisory for SEBI Regulated Entities (R</w:t>
      </w:r>
      <w:r w:rsidR="004867F2">
        <w:t>E</w:t>
      </w:r>
      <w:r>
        <w:t xml:space="preserve">s) regarding Cybersecurity best practices </w:t>
      </w:r>
      <w:r w:rsidR="00270D39">
        <w:t>r</w:t>
      </w:r>
      <w:r w:rsidR="00270D39" w:rsidRPr="00270D39">
        <w:t>ecommended by CSIRT-Fin</w:t>
      </w:r>
      <w:r w:rsidR="00270D39">
        <w:t xml:space="preserve"> through </w:t>
      </w:r>
      <w:r>
        <w:t>SEBI Circular No: SEBI</w:t>
      </w:r>
      <w:r w:rsidR="003675EA">
        <w:t>/HO/ITD/ITD_VAPT/P/CIR/2023/032 d</w:t>
      </w:r>
      <w:r>
        <w:t>ated February 22, 2023.</w:t>
      </w:r>
      <w:r w:rsidR="00A8709C">
        <w:t xml:space="preserve"> Details of the compliance are as mentioned in table 1 below</w:t>
      </w:r>
      <w:r w:rsidR="006B1EAC">
        <w:t>:</w:t>
      </w:r>
    </w:p>
    <w:p w14:paraId="0AF12B0B" w14:textId="77777777" w:rsidR="00507F85" w:rsidRDefault="00507F85" w:rsidP="00CF3780">
      <w:pPr>
        <w:spacing w:line="240" w:lineRule="auto"/>
      </w:pP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6300"/>
        <w:gridCol w:w="1620"/>
        <w:gridCol w:w="1837"/>
      </w:tblGrid>
      <w:tr w:rsidR="00BD5429" w:rsidRPr="00882902" w14:paraId="758D6482" w14:textId="77777777" w:rsidTr="005E6603">
        <w:trPr>
          <w:trHeight w:val="260"/>
          <w:tblHeader/>
        </w:trPr>
        <w:tc>
          <w:tcPr>
            <w:tcW w:w="10485" w:type="dxa"/>
            <w:gridSpan w:val="4"/>
            <w:tcBorders>
              <w:top w:val="single" w:sz="4" w:space="0" w:color="auto"/>
              <w:left w:val="single" w:sz="4" w:space="0" w:color="auto"/>
              <w:bottom w:val="single" w:sz="4" w:space="0" w:color="auto"/>
            </w:tcBorders>
            <w:shd w:val="clear" w:color="auto" w:fill="D9D9D9" w:themeFill="background1" w:themeFillShade="D9"/>
            <w:vAlign w:val="center"/>
          </w:tcPr>
          <w:p w14:paraId="50695FCF" w14:textId="132A6C8A" w:rsidR="00BD5429" w:rsidRPr="00BD5429" w:rsidRDefault="00BD5429" w:rsidP="00CF3780">
            <w:pPr>
              <w:spacing w:line="240" w:lineRule="auto"/>
              <w:jc w:val="center"/>
              <w:rPr>
                <w:rFonts w:ascii="Calibri" w:eastAsia="Times New Roman" w:hAnsi="Calibri" w:cs="Calibri"/>
                <w:b/>
                <w:bCs/>
                <w:color w:val="000000"/>
                <w:sz w:val="20"/>
                <w:szCs w:val="20"/>
                <w:lang w:eastAsia="en-IN"/>
              </w:rPr>
            </w:pPr>
            <w:r w:rsidRPr="00BD5429">
              <w:rPr>
                <w:rFonts w:ascii="Calibri" w:eastAsia="Times New Roman" w:hAnsi="Calibri" w:cs="Calibri"/>
                <w:b/>
                <w:bCs/>
                <w:color w:val="000000"/>
                <w:sz w:val="20"/>
                <w:szCs w:val="20"/>
                <w:lang w:eastAsia="en-IN"/>
              </w:rPr>
              <w:t xml:space="preserve">Table 1:  Details of the </w:t>
            </w:r>
            <w:r w:rsidR="00A014DB">
              <w:rPr>
                <w:rFonts w:ascii="Calibri" w:eastAsia="Times New Roman" w:hAnsi="Calibri" w:cs="Calibri"/>
                <w:b/>
                <w:bCs/>
                <w:color w:val="000000"/>
                <w:sz w:val="20"/>
                <w:szCs w:val="20"/>
                <w:lang w:eastAsia="en-IN"/>
              </w:rPr>
              <w:t>C</w:t>
            </w:r>
            <w:r w:rsidRPr="00BD5429">
              <w:rPr>
                <w:rFonts w:ascii="Calibri" w:eastAsia="Times New Roman" w:hAnsi="Calibri" w:cs="Calibri"/>
                <w:b/>
                <w:bCs/>
                <w:color w:val="000000"/>
                <w:sz w:val="20"/>
                <w:szCs w:val="20"/>
                <w:lang w:eastAsia="en-IN"/>
              </w:rPr>
              <w:t>ompliance</w:t>
            </w:r>
            <w:r w:rsidR="00A014DB">
              <w:rPr>
                <w:rFonts w:ascii="Calibri" w:eastAsia="Times New Roman" w:hAnsi="Calibri" w:cs="Calibri"/>
                <w:b/>
                <w:bCs/>
                <w:color w:val="000000"/>
                <w:sz w:val="20"/>
                <w:szCs w:val="20"/>
                <w:lang w:eastAsia="en-IN"/>
              </w:rPr>
              <w:t xml:space="preserve"> Report</w:t>
            </w:r>
          </w:p>
        </w:tc>
      </w:tr>
      <w:tr w:rsidR="00C80214" w:rsidRPr="00882902" w14:paraId="796097AD" w14:textId="77777777" w:rsidTr="005E6603">
        <w:trPr>
          <w:trHeight w:val="923"/>
          <w:tblHeader/>
        </w:trPr>
        <w:tc>
          <w:tcPr>
            <w:tcW w:w="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59FB5B" w14:textId="77777777" w:rsidR="00C80214" w:rsidRPr="00882902" w:rsidRDefault="00C80214" w:rsidP="00CF3780">
            <w:pPr>
              <w:spacing w:line="240" w:lineRule="auto"/>
              <w:jc w:val="center"/>
              <w:rPr>
                <w:rFonts w:ascii="Calibri" w:eastAsia="Times New Roman" w:hAnsi="Calibri" w:cs="Calibri"/>
                <w:b/>
                <w:bCs/>
                <w:color w:val="000000"/>
                <w:sz w:val="20"/>
                <w:szCs w:val="20"/>
                <w:lang w:eastAsia="en-IN"/>
              </w:rPr>
            </w:pPr>
            <w:r>
              <w:rPr>
                <w:rFonts w:ascii="Calibri" w:eastAsia="Times New Roman" w:hAnsi="Calibri" w:cs="Calibri"/>
                <w:b/>
                <w:bCs/>
                <w:color w:val="000000"/>
                <w:sz w:val="20"/>
                <w:szCs w:val="20"/>
                <w:lang w:eastAsia="en-IN"/>
              </w:rPr>
              <w:t>Sr.No.</w:t>
            </w:r>
          </w:p>
        </w:tc>
        <w:tc>
          <w:tcPr>
            <w:tcW w:w="6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0C9053" w14:textId="77777777" w:rsidR="00C80214" w:rsidRPr="00882902" w:rsidRDefault="00C80214" w:rsidP="00CF3780">
            <w:pPr>
              <w:spacing w:line="240" w:lineRule="auto"/>
              <w:jc w:val="center"/>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Requirement</w:t>
            </w:r>
          </w:p>
        </w:tc>
        <w:tc>
          <w:tcPr>
            <w:tcW w:w="1620" w:type="dxa"/>
            <w:tcBorders>
              <w:left w:val="single" w:sz="4" w:space="0" w:color="auto"/>
            </w:tcBorders>
            <w:shd w:val="clear" w:color="auto" w:fill="D9D9D9" w:themeFill="background1" w:themeFillShade="D9"/>
            <w:vAlign w:val="center"/>
            <w:hideMark/>
          </w:tcPr>
          <w:p w14:paraId="560997D1" w14:textId="77777777" w:rsidR="00C80214" w:rsidRPr="00882902" w:rsidRDefault="00C80214" w:rsidP="00CF3780">
            <w:pPr>
              <w:spacing w:line="240" w:lineRule="auto"/>
              <w:jc w:val="center"/>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C</w:t>
            </w:r>
            <w:r>
              <w:rPr>
                <w:rFonts w:ascii="Calibri" w:eastAsia="Times New Roman" w:hAnsi="Calibri" w:cs="Calibri"/>
                <w:b/>
                <w:bCs/>
                <w:color w:val="000000"/>
                <w:sz w:val="20"/>
                <w:szCs w:val="20"/>
                <w:lang w:eastAsia="en-IN"/>
              </w:rPr>
              <w:t xml:space="preserve">ompliant/Non-Compliant/Not Applicable </w:t>
            </w:r>
          </w:p>
        </w:tc>
        <w:tc>
          <w:tcPr>
            <w:tcW w:w="1837" w:type="dxa"/>
            <w:shd w:val="clear" w:color="auto" w:fill="D9D9D9" w:themeFill="background1" w:themeFillShade="D9"/>
          </w:tcPr>
          <w:p w14:paraId="5696FC79" w14:textId="51E6ECE4" w:rsidR="00C80214" w:rsidRPr="00882902" w:rsidRDefault="00C80214" w:rsidP="00CF3780">
            <w:pPr>
              <w:spacing w:line="240" w:lineRule="auto"/>
              <w:jc w:val="center"/>
              <w:rPr>
                <w:rFonts w:ascii="Calibri" w:eastAsia="Times New Roman" w:hAnsi="Calibri" w:cs="Calibri"/>
                <w:b/>
                <w:bCs/>
                <w:color w:val="000000"/>
                <w:sz w:val="20"/>
                <w:szCs w:val="20"/>
                <w:lang w:eastAsia="en-IN"/>
              </w:rPr>
            </w:pPr>
            <w:r>
              <w:rPr>
                <w:rFonts w:ascii="Calibri" w:eastAsia="Times New Roman" w:hAnsi="Calibri" w:cs="Calibri"/>
                <w:b/>
                <w:bCs/>
                <w:color w:val="000000"/>
                <w:sz w:val="20"/>
                <w:szCs w:val="20"/>
                <w:lang w:eastAsia="en-IN"/>
              </w:rPr>
              <w:t xml:space="preserve">Remark (To </w:t>
            </w:r>
            <w:r w:rsidR="00E34B60">
              <w:rPr>
                <w:rFonts w:ascii="Calibri" w:eastAsia="Times New Roman" w:hAnsi="Calibri" w:cs="Calibri"/>
                <w:b/>
                <w:bCs/>
                <w:color w:val="000000"/>
                <w:sz w:val="20"/>
                <w:szCs w:val="20"/>
                <w:lang w:eastAsia="en-IN"/>
              </w:rPr>
              <w:t xml:space="preserve">justify </w:t>
            </w:r>
            <w:r>
              <w:rPr>
                <w:rFonts w:ascii="Calibri" w:eastAsia="Times New Roman" w:hAnsi="Calibri" w:cs="Calibri"/>
                <w:b/>
                <w:bCs/>
                <w:color w:val="000000"/>
                <w:sz w:val="20"/>
                <w:szCs w:val="20"/>
                <w:lang w:eastAsia="en-IN"/>
              </w:rPr>
              <w:t xml:space="preserve">why points are </w:t>
            </w:r>
            <w:r w:rsidR="00E34B60">
              <w:rPr>
                <w:rFonts w:ascii="Calibri" w:eastAsia="Times New Roman" w:hAnsi="Calibri" w:cs="Calibri"/>
                <w:b/>
                <w:bCs/>
                <w:color w:val="000000"/>
                <w:sz w:val="20"/>
                <w:szCs w:val="20"/>
                <w:lang w:eastAsia="en-IN"/>
              </w:rPr>
              <w:t>N</w:t>
            </w:r>
            <w:r>
              <w:rPr>
                <w:rFonts w:ascii="Calibri" w:eastAsia="Times New Roman" w:hAnsi="Calibri" w:cs="Calibri"/>
                <w:b/>
                <w:bCs/>
                <w:color w:val="000000"/>
                <w:sz w:val="20"/>
                <w:szCs w:val="20"/>
                <w:lang w:eastAsia="en-IN"/>
              </w:rPr>
              <w:t xml:space="preserve">ot </w:t>
            </w:r>
            <w:r w:rsidR="00E34B60">
              <w:rPr>
                <w:rFonts w:ascii="Calibri" w:eastAsia="Times New Roman" w:hAnsi="Calibri" w:cs="Calibri"/>
                <w:b/>
                <w:bCs/>
                <w:color w:val="000000"/>
                <w:sz w:val="20"/>
                <w:szCs w:val="20"/>
                <w:lang w:eastAsia="en-IN"/>
              </w:rPr>
              <w:t>A</w:t>
            </w:r>
            <w:r>
              <w:rPr>
                <w:rFonts w:ascii="Calibri" w:eastAsia="Times New Roman" w:hAnsi="Calibri" w:cs="Calibri"/>
                <w:b/>
                <w:bCs/>
                <w:color w:val="000000"/>
                <w:sz w:val="20"/>
                <w:szCs w:val="20"/>
                <w:lang w:eastAsia="en-IN"/>
              </w:rPr>
              <w:t>pplicable)</w:t>
            </w:r>
          </w:p>
        </w:tc>
      </w:tr>
      <w:tr w:rsidR="00C80214" w:rsidRPr="00882902" w14:paraId="33638570" w14:textId="77777777" w:rsidTr="005E6603">
        <w:trPr>
          <w:trHeight w:val="58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9A7D35E"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1</w:t>
            </w: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4DCD0CAF"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Roles and Responsibilities of Chief Information Security Officer (CISO)</w:t>
            </w:r>
            <w:r w:rsidR="003675EA">
              <w:rPr>
                <w:rFonts w:ascii="Calibri" w:eastAsia="Times New Roman" w:hAnsi="Calibri" w:cs="Calibri"/>
                <w:b/>
                <w:bCs/>
                <w:color w:val="000000"/>
                <w:sz w:val="20"/>
                <w:szCs w:val="20"/>
                <w:lang w:eastAsia="en-IN"/>
              </w:rPr>
              <w:t xml:space="preserve"> </w:t>
            </w:r>
            <w:r w:rsidRPr="00882902">
              <w:rPr>
                <w:rFonts w:ascii="Calibri" w:eastAsia="Times New Roman" w:hAnsi="Calibri" w:cs="Calibri"/>
                <w:b/>
                <w:bCs/>
                <w:color w:val="000000"/>
                <w:sz w:val="20"/>
                <w:szCs w:val="20"/>
                <w:lang w:eastAsia="en-IN"/>
              </w:rPr>
              <w:t>/</w:t>
            </w:r>
            <w:r w:rsidR="003675EA">
              <w:rPr>
                <w:rFonts w:ascii="Calibri" w:eastAsia="Times New Roman" w:hAnsi="Calibri" w:cs="Calibri"/>
                <w:b/>
                <w:bCs/>
                <w:color w:val="000000"/>
                <w:sz w:val="20"/>
                <w:szCs w:val="20"/>
                <w:lang w:eastAsia="en-IN"/>
              </w:rPr>
              <w:t xml:space="preserve"> </w:t>
            </w:r>
            <w:r w:rsidRPr="00882902">
              <w:rPr>
                <w:rFonts w:ascii="Calibri" w:eastAsia="Times New Roman" w:hAnsi="Calibri" w:cs="Calibri"/>
                <w:b/>
                <w:bCs/>
                <w:color w:val="000000"/>
                <w:sz w:val="20"/>
                <w:szCs w:val="20"/>
                <w:lang w:eastAsia="en-IN"/>
              </w:rPr>
              <w:t>Designated Officer:</w:t>
            </w:r>
            <w:r w:rsidR="00F06AE6">
              <w:rPr>
                <w:rFonts w:ascii="Calibri" w:eastAsia="Times New Roman" w:hAnsi="Calibri" w:cs="Calibri"/>
                <w:b/>
                <w:bCs/>
                <w:color w:val="000000"/>
                <w:sz w:val="20"/>
                <w:szCs w:val="20"/>
                <w:lang w:eastAsia="en-IN"/>
              </w:rPr>
              <w:t xml:space="preserve"> </w:t>
            </w:r>
          </w:p>
          <w:p w14:paraId="06647905" w14:textId="329054F2" w:rsidR="00C80214" w:rsidRPr="00882902" w:rsidRDefault="00C80214" w:rsidP="00CF3780">
            <w:pPr>
              <w:spacing w:line="240" w:lineRule="auto"/>
              <w:jc w:val="both"/>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REs/Member</w:t>
            </w:r>
            <w:r w:rsidRPr="00882902">
              <w:rPr>
                <w:rFonts w:ascii="Calibri" w:eastAsia="Times New Roman" w:hAnsi="Calibri" w:cs="Calibri"/>
                <w:color w:val="000000"/>
                <w:sz w:val="20"/>
                <w:szCs w:val="20"/>
                <w:lang w:eastAsia="en-IN"/>
              </w:rPr>
              <w:t xml:space="preserve"> are advised to define roles and responsibilities of Chief Information Security Officer (CISO) and other senior personnel. Reporting and compliance requirements shall be clearly specified in the security policy.</w:t>
            </w:r>
          </w:p>
        </w:tc>
        <w:tc>
          <w:tcPr>
            <w:tcW w:w="1620" w:type="dxa"/>
            <w:tcBorders>
              <w:left w:val="single" w:sz="4" w:space="0" w:color="auto"/>
            </w:tcBorders>
            <w:shd w:val="clear" w:color="auto" w:fill="auto"/>
            <w:hideMark/>
          </w:tcPr>
          <w:p w14:paraId="57836D50"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68056E40"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62812268" w14:textId="77777777" w:rsidTr="005E6603">
        <w:trPr>
          <w:trHeight w:val="545"/>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tcPr>
          <w:p w14:paraId="0C02DAA7"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2</w:t>
            </w: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66179BAF"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Measures against Phishing attacks/ websites:</w:t>
            </w:r>
          </w:p>
          <w:p w14:paraId="648AFEA6" w14:textId="00858945"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 xml:space="preserve">i. The </w:t>
            </w:r>
            <w:r>
              <w:rPr>
                <w:rFonts w:ascii="Calibri" w:eastAsia="Times New Roman" w:hAnsi="Calibri" w:cs="Calibri"/>
                <w:color w:val="000000"/>
                <w:sz w:val="20"/>
                <w:szCs w:val="20"/>
                <w:lang w:eastAsia="en-IN"/>
              </w:rPr>
              <w:t>REs/Member</w:t>
            </w:r>
            <w:r w:rsidRPr="00882902">
              <w:rPr>
                <w:rFonts w:ascii="Calibri" w:eastAsia="Times New Roman" w:hAnsi="Calibri" w:cs="Calibri"/>
                <w:color w:val="000000"/>
                <w:sz w:val="20"/>
                <w:szCs w:val="20"/>
                <w:lang w:eastAsia="en-IN"/>
              </w:rPr>
              <w:t xml:space="preserve"> need to proactively monitor the cyberspace to identify phishing websites w.r.t. to </w:t>
            </w:r>
            <w:r>
              <w:rPr>
                <w:rFonts w:ascii="Calibri" w:eastAsia="Times New Roman" w:hAnsi="Calibri" w:cs="Calibri"/>
                <w:color w:val="000000"/>
                <w:sz w:val="20"/>
                <w:szCs w:val="20"/>
                <w:lang w:eastAsia="en-IN"/>
              </w:rPr>
              <w:t xml:space="preserve">REs/Member </w:t>
            </w:r>
            <w:r w:rsidRPr="00882902">
              <w:rPr>
                <w:rFonts w:ascii="Calibri" w:eastAsia="Times New Roman" w:hAnsi="Calibri" w:cs="Calibri"/>
                <w:color w:val="000000"/>
                <w:sz w:val="20"/>
                <w:szCs w:val="20"/>
                <w:lang w:eastAsia="en-IN"/>
              </w:rPr>
              <w:t>domain and report the same to CSIRT-Fin/CERT-In for taking appropriate action.</w:t>
            </w:r>
          </w:p>
        </w:tc>
        <w:tc>
          <w:tcPr>
            <w:tcW w:w="1620" w:type="dxa"/>
            <w:tcBorders>
              <w:left w:val="single" w:sz="4" w:space="0" w:color="auto"/>
            </w:tcBorders>
            <w:shd w:val="clear" w:color="auto" w:fill="auto"/>
          </w:tcPr>
          <w:p w14:paraId="4358192B"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25CA71EC"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5992E42B" w14:textId="77777777" w:rsidTr="005E6603">
        <w:trPr>
          <w:trHeight w:val="956"/>
        </w:trPr>
        <w:tc>
          <w:tcPr>
            <w:tcW w:w="728" w:type="dxa"/>
            <w:vMerge/>
            <w:tcBorders>
              <w:top w:val="single" w:sz="4" w:space="0" w:color="auto"/>
              <w:left w:val="single" w:sz="4" w:space="0" w:color="auto"/>
              <w:bottom w:val="single" w:sz="4" w:space="0" w:color="auto"/>
              <w:right w:val="single" w:sz="4" w:space="0" w:color="auto"/>
            </w:tcBorders>
            <w:shd w:val="clear" w:color="auto" w:fill="auto"/>
            <w:hideMark/>
          </w:tcPr>
          <w:p w14:paraId="0F11C80D"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38344D26"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Majority of the infections are primarily introduced via phishing emails, malicious adverts on websites, and third-party apps and programs. Hence, thoughtfully designed security awareness campaigns that stress the avoidance of clicking on links and attachments in email, can establish an essential pillar of defence.</w:t>
            </w:r>
          </w:p>
          <w:p w14:paraId="49808E02"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Additionally, the advisories issued by CERT-In/ CSIRT-Fin may be referred for assistance in conducting exercises for public awareness.</w:t>
            </w:r>
          </w:p>
        </w:tc>
        <w:tc>
          <w:tcPr>
            <w:tcW w:w="1620" w:type="dxa"/>
            <w:tcBorders>
              <w:left w:val="single" w:sz="4" w:space="0" w:color="auto"/>
            </w:tcBorders>
            <w:shd w:val="clear" w:color="auto" w:fill="auto"/>
            <w:hideMark/>
          </w:tcPr>
          <w:p w14:paraId="63D4CF72"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762737C1"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17312BA7" w14:textId="77777777" w:rsidTr="005E6603">
        <w:trPr>
          <w:trHeight w:val="1239"/>
        </w:trPr>
        <w:tc>
          <w:tcPr>
            <w:tcW w:w="72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348259A"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lastRenderedPageBreak/>
              <w:t>3</w:t>
            </w:r>
          </w:p>
        </w:tc>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2111571"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 xml:space="preserve">Patch Management and Vulnerability Assessment and Penetration </w:t>
            </w:r>
            <w:r w:rsidR="00F06AE6">
              <w:rPr>
                <w:rFonts w:ascii="Calibri" w:eastAsia="Times New Roman" w:hAnsi="Calibri" w:cs="Calibri"/>
                <w:b/>
                <w:bCs/>
                <w:color w:val="000000"/>
                <w:sz w:val="20"/>
                <w:szCs w:val="20"/>
                <w:lang w:eastAsia="en-IN"/>
              </w:rPr>
              <w:t>Testing (VAPT):</w:t>
            </w:r>
          </w:p>
          <w:p w14:paraId="31D778EF" w14:textId="447078BA"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 All operating systems and applications should be updated with the latest patches on a regular basis.</w:t>
            </w:r>
          </w:p>
          <w:p w14:paraId="3247498F"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As an interim measure for zero-day vulnerabilities and where patches are not available, virtual patching can be considered for protecting systems and networks. This measure hinders cybercriminals from gaining access to any system through vulnerabilities in end-of-support and end-of-life applications and software. Patches should be sourced only from the authorized sites of the OEM.</w:t>
            </w:r>
          </w:p>
        </w:tc>
        <w:tc>
          <w:tcPr>
            <w:tcW w:w="1620" w:type="dxa"/>
            <w:tcBorders>
              <w:left w:val="single" w:sz="4" w:space="0" w:color="auto"/>
            </w:tcBorders>
            <w:shd w:val="clear" w:color="auto" w:fill="auto"/>
            <w:hideMark/>
          </w:tcPr>
          <w:p w14:paraId="73DDB987"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1C23744B"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79FDF9A4" w14:textId="77777777" w:rsidTr="005E6603">
        <w:trPr>
          <w:trHeight w:val="845"/>
        </w:trPr>
        <w:tc>
          <w:tcPr>
            <w:tcW w:w="728" w:type="dxa"/>
            <w:vMerge/>
            <w:tcBorders>
              <w:top w:val="single" w:sz="4" w:space="0" w:color="auto"/>
              <w:left w:val="single" w:sz="4" w:space="0" w:color="auto"/>
              <w:bottom w:val="single" w:sz="4" w:space="0" w:color="auto"/>
              <w:right w:val="single" w:sz="4" w:space="0" w:color="auto"/>
            </w:tcBorders>
            <w:shd w:val="clear" w:color="auto" w:fill="auto"/>
          </w:tcPr>
          <w:p w14:paraId="5464674E" w14:textId="4D824892"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tcBorders>
              <w:top w:val="single" w:sz="4" w:space="0" w:color="auto"/>
              <w:left w:val="single" w:sz="4" w:space="0" w:color="auto"/>
              <w:bottom w:val="single" w:sz="4" w:space="0" w:color="auto"/>
              <w:right w:val="single" w:sz="4" w:space="0" w:color="auto"/>
            </w:tcBorders>
            <w:shd w:val="clear" w:color="auto" w:fill="auto"/>
          </w:tcPr>
          <w:p w14:paraId="59CBC874" w14:textId="77777777"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Security audit / Vulnerability Assessment and Penetration Testing (VAPT) of the application should be conducted at regular basis and in accordance with the Cyber Security and Cyber Resilience circulars of SEBI issued from time to time.</w:t>
            </w:r>
          </w:p>
          <w:p w14:paraId="2ADBF9AC" w14:textId="21243CFE"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The observation/ gaps of VAPT/Security Audit should be resolved as per the timelines prescribed by SEBI.</w:t>
            </w:r>
          </w:p>
        </w:tc>
        <w:tc>
          <w:tcPr>
            <w:tcW w:w="1620" w:type="dxa"/>
            <w:tcBorders>
              <w:left w:val="single" w:sz="4" w:space="0" w:color="auto"/>
            </w:tcBorders>
            <w:shd w:val="clear" w:color="auto" w:fill="auto"/>
          </w:tcPr>
          <w:p w14:paraId="54060942"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069E17A6"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61F519CC" w14:textId="77777777" w:rsidTr="005E6603">
        <w:trPr>
          <w:trHeight w:val="419"/>
        </w:trPr>
        <w:tc>
          <w:tcPr>
            <w:tcW w:w="728" w:type="dxa"/>
            <w:vMerge w:val="restart"/>
            <w:tcBorders>
              <w:top w:val="single" w:sz="4" w:space="0" w:color="auto"/>
            </w:tcBorders>
            <w:shd w:val="clear" w:color="auto" w:fill="auto"/>
            <w:hideMark/>
          </w:tcPr>
          <w:p w14:paraId="1F5F0D9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4</w:t>
            </w:r>
          </w:p>
        </w:tc>
        <w:tc>
          <w:tcPr>
            <w:tcW w:w="6300" w:type="dxa"/>
            <w:tcBorders>
              <w:top w:val="single" w:sz="4" w:space="0" w:color="auto"/>
            </w:tcBorders>
            <w:shd w:val="clear" w:color="auto" w:fill="auto"/>
            <w:hideMark/>
          </w:tcPr>
          <w:p w14:paraId="17291C37"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Measures for Data Protection and Data breach:</w:t>
            </w:r>
          </w:p>
          <w:p w14:paraId="1C98AA21" w14:textId="7D7DEBA0"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 xml:space="preserve">i. </w:t>
            </w:r>
            <w:r>
              <w:rPr>
                <w:rFonts w:ascii="Calibri" w:eastAsia="Times New Roman" w:hAnsi="Calibri" w:cs="Calibri"/>
                <w:color w:val="000000"/>
                <w:sz w:val="20"/>
                <w:szCs w:val="20"/>
                <w:lang w:eastAsia="en-IN"/>
              </w:rPr>
              <w:t xml:space="preserve">REs/Member </w:t>
            </w:r>
            <w:r w:rsidRPr="00882902">
              <w:rPr>
                <w:rFonts w:ascii="Calibri" w:eastAsia="Times New Roman" w:hAnsi="Calibri" w:cs="Calibri"/>
                <w:color w:val="000000"/>
                <w:sz w:val="20"/>
                <w:szCs w:val="20"/>
                <w:lang w:eastAsia="en-IN"/>
              </w:rPr>
              <w:t>are advised to prepare detailed incident response plan.</w:t>
            </w:r>
          </w:p>
        </w:tc>
        <w:tc>
          <w:tcPr>
            <w:tcW w:w="1620" w:type="dxa"/>
            <w:shd w:val="clear" w:color="auto" w:fill="auto"/>
            <w:hideMark/>
          </w:tcPr>
          <w:p w14:paraId="27C372C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10171E61"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7AA74280" w14:textId="77777777" w:rsidTr="005E6603">
        <w:trPr>
          <w:trHeight w:val="269"/>
        </w:trPr>
        <w:tc>
          <w:tcPr>
            <w:tcW w:w="728" w:type="dxa"/>
            <w:vMerge/>
            <w:shd w:val="clear" w:color="auto" w:fill="auto"/>
          </w:tcPr>
          <w:p w14:paraId="12EB878C"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70BBB091"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Enforce effective data protection, backup, and recovery measures.</w:t>
            </w:r>
          </w:p>
        </w:tc>
        <w:tc>
          <w:tcPr>
            <w:tcW w:w="1620" w:type="dxa"/>
            <w:shd w:val="clear" w:color="auto" w:fill="auto"/>
          </w:tcPr>
          <w:p w14:paraId="6B71990B"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00092A45"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7F86EF6C" w14:textId="77777777" w:rsidTr="005E6603">
        <w:trPr>
          <w:trHeight w:val="273"/>
        </w:trPr>
        <w:tc>
          <w:tcPr>
            <w:tcW w:w="728" w:type="dxa"/>
            <w:vMerge/>
            <w:shd w:val="clear" w:color="auto" w:fill="auto"/>
          </w:tcPr>
          <w:p w14:paraId="7DAF137F"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408BE573"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iii. Encryption of the data at rest should be implemented to prevent the attacker from accessing the unencrypted data.</w:t>
            </w:r>
          </w:p>
        </w:tc>
        <w:tc>
          <w:tcPr>
            <w:tcW w:w="1620" w:type="dxa"/>
            <w:shd w:val="clear" w:color="auto" w:fill="auto"/>
          </w:tcPr>
          <w:p w14:paraId="51EE3F6C"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3C03F97C"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7FAC4BA3" w14:textId="77777777" w:rsidTr="005E6603">
        <w:trPr>
          <w:trHeight w:val="277"/>
        </w:trPr>
        <w:tc>
          <w:tcPr>
            <w:tcW w:w="728" w:type="dxa"/>
            <w:vMerge/>
            <w:shd w:val="clear" w:color="auto" w:fill="auto"/>
          </w:tcPr>
          <w:p w14:paraId="769BF93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58B4C444"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iv. Identify and classify sensitive and Personally Identifiable Information (PII) data and apply measures for encrypting such data in transit and at rest.</w:t>
            </w:r>
          </w:p>
        </w:tc>
        <w:tc>
          <w:tcPr>
            <w:tcW w:w="1620" w:type="dxa"/>
            <w:shd w:val="clear" w:color="auto" w:fill="auto"/>
          </w:tcPr>
          <w:p w14:paraId="29DA4656"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35C91EB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2908338E" w14:textId="77777777" w:rsidTr="005E6603">
        <w:trPr>
          <w:trHeight w:val="198"/>
        </w:trPr>
        <w:tc>
          <w:tcPr>
            <w:tcW w:w="728" w:type="dxa"/>
            <w:vMerge/>
            <w:shd w:val="clear" w:color="auto" w:fill="auto"/>
          </w:tcPr>
          <w:p w14:paraId="0FDEA16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6AE2C98D" w14:textId="77777777"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v. Deploy data leakage prevention (DLP) solutions / processes.</w:t>
            </w:r>
          </w:p>
        </w:tc>
        <w:tc>
          <w:tcPr>
            <w:tcW w:w="1620" w:type="dxa"/>
            <w:shd w:val="clear" w:color="auto" w:fill="auto"/>
          </w:tcPr>
          <w:p w14:paraId="195B1DF6"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5799240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0F042359" w14:textId="77777777" w:rsidTr="005E6603">
        <w:trPr>
          <w:trHeight w:val="654"/>
        </w:trPr>
        <w:tc>
          <w:tcPr>
            <w:tcW w:w="728" w:type="dxa"/>
            <w:shd w:val="clear" w:color="auto" w:fill="auto"/>
            <w:hideMark/>
          </w:tcPr>
          <w:p w14:paraId="3AAE9099"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5</w:t>
            </w:r>
          </w:p>
        </w:tc>
        <w:tc>
          <w:tcPr>
            <w:tcW w:w="6300" w:type="dxa"/>
            <w:shd w:val="clear" w:color="auto" w:fill="auto"/>
            <w:hideMark/>
          </w:tcPr>
          <w:p w14:paraId="433B42DA"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Log retention:</w:t>
            </w:r>
          </w:p>
          <w:p w14:paraId="55EE1865" w14:textId="01182AA8" w:rsidR="00C80214" w:rsidRP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 xml:space="preserve">Strong log retention policy should be implemented as per extant SEBI regulations and required by CERT-In and IT Act 2000. </w:t>
            </w:r>
            <w:r>
              <w:rPr>
                <w:rFonts w:ascii="Calibri" w:eastAsia="Times New Roman" w:hAnsi="Calibri" w:cs="Calibri"/>
                <w:color w:val="000000"/>
                <w:sz w:val="20"/>
                <w:szCs w:val="20"/>
                <w:lang w:eastAsia="en-IN"/>
              </w:rPr>
              <w:t xml:space="preserve">REs/Member </w:t>
            </w:r>
            <w:r w:rsidRPr="00882902">
              <w:rPr>
                <w:rFonts w:ascii="Calibri" w:eastAsia="Times New Roman" w:hAnsi="Calibri" w:cs="Calibri"/>
                <w:color w:val="000000"/>
                <w:sz w:val="20"/>
                <w:szCs w:val="20"/>
                <w:lang w:eastAsia="en-IN"/>
              </w:rPr>
              <w:t>are advised to audit that all logs are being collected. Monitoring of all logs of events and incidents to identify unusual patterns and behaviours should be done.</w:t>
            </w:r>
            <w:r w:rsidR="00CE2388">
              <w:rPr>
                <w:rFonts w:ascii="Calibri" w:eastAsia="Times New Roman" w:hAnsi="Calibri" w:cs="Calibri"/>
                <w:color w:val="000000"/>
                <w:sz w:val="20"/>
                <w:szCs w:val="20"/>
                <w:lang w:eastAsia="en-IN"/>
              </w:rPr>
              <w:t xml:space="preserve"> Refer SEBI circular CIR/MIRSD/24/2011 dated December 15, 2011.</w:t>
            </w:r>
          </w:p>
        </w:tc>
        <w:tc>
          <w:tcPr>
            <w:tcW w:w="1620" w:type="dxa"/>
            <w:shd w:val="clear" w:color="auto" w:fill="auto"/>
            <w:hideMark/>
          </w:tcPr>
          <w:p w14:paraId="2A2ABA3A"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44370D40"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51CE4ACB" w14:textId="77777777" w:rsidTr="005E6603">
        <w:trPr>
          <w:trHeight w:val="708"/>
        </w:trPr>
        <w:tc>
          <w:tcPr>
            <w:tcW w:w="728" w:type="dxa"/>
            <w:vMerge w:val="restart"/>
            <w:shd w:val="clear" w:color="auto" w:fill="auto"/>
          </w:tcPr>
          <w:p w14:paraId="2CCCD1AB"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6</w:t>
            </w:r>
          </w:p>
        </w:tc>
        <w:tc>
          <w:tcPr>
            <w:tcW w:w="6300" w:type="dxa"/>
            <w:shd w:val="clear" w:color="auto" w:fill="auto"/>
          </w:tcPr>
          <w:p w14:paraId="62C56341"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Password Policy/ Authentication Mechanisms:</w:t>
            </w:r>
          </w:p>
          <w:p w14:paraId="489459C6" w14:textId="72D9F246"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i. Strong password policy should be implemented. The policy should include a clause of periodic review of accounts of ex-employees Passwords should not be reused across multiple accounts or list of passwords should not be stored on the system.</w:t>
            </w:r>
          </w:p>
        </w:tc>
        <w:tc>
          <w:tcPr>
            <w:tcW w:w="1620" w:type="dxa"/>
            <w:shd w:val="clear" w:color="auto" w:fill="auto"/>
          </w:tcPr>
          <w:p w14:paraId="7E44D3CC"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317E354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5693C583" w14:textId="77777777" w:rsidTr="005E6603">
        <w:trPr>
          <w:trHeight w:val="851"/>
        </w:trPr>
        <w:tc>
          <w:tcPr>
            <w:tcW w:w="728" w:type="dxa"/>
            <w:vMerge/>
            <w:shd w:val="clear" w:color="auto" w:fill="auto"/>
            <w:hideMark/>
          </w:tcPr>
          <w:p w14:paraId="72182675"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hideMark/>
          </w:tcPr>
          <w:p w14:paraId="49080142" w14:textId="77777777"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Enable multi factor authentication (MFA) for all users that connect using online / internet facility and also particularly for virtual private networks, webmail and accounts that access critical systems.</w:t>
            </w:r>
          </w:p>
          <w:p w14:paraId="2388591B" w14:textId="51F8704B"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iii. Maker and Checker framework should be implemented in strict manner and MFA should be enabled for all user accounts, especially for user accounts accessing critical applications.</w:t>
            </w:r>
          </w:p>
        </w:tc>
        <w:tc>
          <w:tcPr>
            <w:tcW w:w="1620" w:type="dxa"/>
            <w:shd w:val="clear" w:color="auto" w:fill="auto"/>
            <w:hideMark/>
          </w:tcPr>
          <w:p w14:paraId="40CF2B5D"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66BF5E5B"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24D1D49A" w14:textId="77777777" w:rsidTr="005E6603">
        <w:trPr>
          <w:trHeight w:val="1288"/>
        </w:trPr>
        <w:tc>
          <w:tcPr>
            <w:tcW w:w="728" w:type="dxa"/>
            <w:shd w:val="clear" w:color="auto" w:fill="auto"/>
            <w:hideMark/>
          </w:tcPr>
          <w:p w14:paraId="7E0D2779"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7</w:t>
            </w:r>
          </w:p>
        </w:tc>
        <w:tc>
          <w:tcPr>
            <w:tcW w:w="6300" w:type="dxa"/>
            <w:shd w:val="clear" w:color="auto" w:fill="auto"/>
            <w:hideMark/>
          </w:tcPr>
          <w:p w14:paraId="0644918D"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Privilege Management:</w:t>
            </w:r>
          </w:p>
          <w:p w14:paraId="427C4F82" w14:textId="77777777"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 Maker-Checker framework should be implemented for modifying the user’s right in internal applications.</w:t>
            </w:r>
          </w:p>
          <w:p w14:paraId="59B05AF2" w14:textId="01964705"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For mitigating the insider threat problem, ‘least privilege’ approach to provide security for both on-and off-premises resources (i.e., zero-trust models) should be implemented. Zero Trust is rooted in the principle of “trust nothing, verify everything.” This security model requires strict identity verification for each and every resource and device attempting to get access to any information on a private network, regardless of where they are situated, within or outside of a network perimeter.</w:t>
            </w:r>
          </w:p>
        </w:tc>
        <w:tc>
          <w:tcPr>
            <w:tcW w:w="1620" w:type="dxa"/>
            <w:shd w:val="clear" w:color="auto" w:fill="auto"/>
            <w:hideMark/>
          </w:tcPr>
          <w:p w14:paraId="5D9DD7D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0B6E62D2"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2F1BBAEF" w14:textId="77777777" w:rsidTr="005E6603">
        <w:trPr>
          <w:trHeight w:val="1179"/>
        </w:trPr>
        <w:tc>
          <w:tcPr>
            <w:tcW w:w="728" w:type="dxa"/>
            <w:vMerge w:val="restart"/>
            <w:shd w:val="clear" w:color="auto" w:fill="auto"/>
            <w:hideMark/>
          </w:tcPr>
          <w:p w14:paraId="20D5E845"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8</w:t>
            </w:r>
          </w:p>
        </w:tc>
        <w:tc>
          <w:tcPr>
            <w:tcW w:w="6300" w:type="dxa"/>
            <w:shd w:val="clear" w:color="auto" w:fill="auto"/>
            <w:hideMark/>
          </w:tcPr>
          <w:p w14:paraId="7D2F35E6"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 xml:space="preserve">Cybersecurity Controls: </w:t>
            </w:r>
          </w:p>
          <w:p w14:paraId="493C6E1E" w14:textId="33108C8C"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 xml:space="preserve">i. Deploy web and email filters on the network. Configure these devices to scan for known bad domains, sources, and addresses, block these before receiving and downloading messages. Scan all emails, attachments, and downloads both on the host and at the mail gateway with </w:t>
            </w:r>
            <w:r>
              <w:rPr>
                <w:rFonts w:ascii="Calibri" w:eastAsia="Times New Roman" w:hAnsi="Calibri" w:cs="Calibri"/>
                <w:color w:val="000000"/>
                <w:sz w:val="20"/>
                <w:szCs w:val="20"/>
                <w:lang w:eastAsia="en-IN"/>
              </w:rPr>
              <w:t>a reputable antivirus solution.</w:t>
            </w:r>
          </w:p>
        </w:tc>
        <w:tc>
          <w:tcPr>
            <w:tcW w:w="1620" w:type="dxa"/>
            <w:shd w:val="clear" w:color="auto" w:fill="auto"/>
            <w:hideMark/>
          </w:tcPr>
          <w:p w14:paraId="2E594094" w14:textId="77777777" w:rsidR="00C80214" w:rsidRPr="00882902" w:rsidRDefault="00C80214" w:rsidP="00CF3780">
            <w:pPr>
              <w:spacing w:line="240" w:lineRule="auto"/>
              <w:rPr>
                <w:rFonts w:ascii="Calibri" w:eastAsia="Times New Roman" w:hAnsi="Calibri" w:cs="Calibri"/>
                <w:color w:val="000000"/>
                <w:sz w:val="20"/>
                <w:szCs w:val="20"/>
                <w:lang w:eastAsia="en-IN"/>
              </w:rPr>
            </w:pPr>
          </w:p>
        </w:tc>
        <w:tc>
          <w:tcPr>
            <w:tcW w:w="1837" w:type="dxa"/>
          </w:tcPr>
          <w:p w14:paraId="310F32C7" w14:textId="77777777" w:rsidR="00C80214" w:rsidRPr="00882902" w:rsidRDefault="00C80214" w:rsidP="00CF3780">
            <w:pPr>
              <w:spacing w:line="240" w:lineRule="auto"/>
              <w:rPr>
                <w:rFonts w:ascii="Calibri" w:eastAsia="Times New Roman" w:hAnsi="Calibri" w:cs="Calibri"/>
                <w:color w:val="000000"/>
                <w:sz w:val="20"/>
                <w:szCs w:val="20"/>
                <w:lang w:eastAsia="en-IN"/>
              </w:rPr>
            </w:pPr>
          </w:p>
        </w:tc>
      </w:tr>
      <w:tr w:rsidR="00C80214" w:rsidRPr="00882902" w14:paraId="6F802B50" w14:textId="77777777" w:rsidTr="005E6603">
        <w:trPr>
          <w:trHeight w:val="801"/>
        </w:trPr>
        <w:tc>
          <w:tcPr>
            <w:tcW w:w="728" w:type="dxa"/>
            <w:vMerge/>
            <w:shd w:val="clear" w:color="auto" w:fill="auto"/>
          </w:tcPr>
          <w:p w14:paraId="55DF36F8"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6F4CA141" w14:textId="77777777"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ii. Block the malicious domains/IPs after diligently verifying them without impacting the operations. CSIRT-Fin/CERT-In advisories which are published periodically should be referred for latest malicious domains/IPs, C&amp;C DNS and links.</w:t>
            </w:r>
          </w:p>
        </w:tc>
        <w:tc>
          <w:tcPr>
            <w:tcW w:w="1620" w:type="dxa"/>
            <w:shd w:val="clear" w:color="auto" w:fill="auto"/>
          </w:tcPr>
          <w:p w14:paraId="69D340A8" w14:textId="77777777" w:rsidR="00C80214" w:rsidRPr="00882902" w:rsidRDefault="00C80214" w:rsidP="00CF3780">
            <w:pPr>
              <w:spacing w:line="240" w:lineRule="auto"/>
              <w:rPr>
                <w:rFonts w:ascii="Calibri" w:eastAsia="Times New Roman" w:hAnsi="Calibri" w:cs="Calibri"/>
                <w:color w:val="000000"/>
                <w:sz w:val="20"/>
                <w:szCs w:val="20"/>
                <w:lang w:eastAsia="en-IN"/>
              </w:rPr>
            </w:pPr>
          </w:p>
        </w:tc>
        <w:tc>
          <w:tcPr>
            <w:tcW w:w="1837" w:type="dxa"/>
          </w:tcPr>
          <w:p w14:paraId="68646B95" w14:textId="77777777" w:rsidR="00C80214" w:rsidRPr="00882902" w:rsidRDefault="00C80214" w:rsidP="00CF3780">
            <w:pPr>
              <w:spacing w:line="240" w:lineRule="auto"/>
              <w:rPr>
                <w:rFonts w:ascii="Calibri" w:eastAsia="Times New Roman" w:hAnsi="Calibri" w:cs="Calibri"/>
                <w:color w:val="000000"/>
                <w:sz w:val="20"/>
                <w:szCs w:val="20"/>
                <w:lang w:eastAsia="en-IN"/>
              </w:rPr>
            </w:pPr>
          </w:p>
        </w:tc>
      </w:tr>
      <w:tr w:rsidR="00C80214" w:rsidRPr="00882902" w14:paraId="76123FE8" w14:textId="77777777" w:rsidTr="005E6603">
        <w:trPr>
          <w:trHeight w:val="558"/>
        </w:trPr>
        <w:tc>
          <w:tcPr>
            <w:tcW w:w="728" w:type="dxa"/>
            <w:vMerge/>
            <w:shd w:val="clear" w:color="auto" w:fill="auto"/>
          </w:tcPr>
          <w:p w14:paraId="230A836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655F5962" w14:textId="77777777"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iii. Restrict execution of “powershell” and “wscript” in enterprise environment, if not required. Ensure installation and use of the latest version of PowerShell, with enhanced logging enabled, script block logging and transcription enabled. Send the associated logs to a centralized log repository for monitoring and analysis.</w:t>
            </w:r>
          </w:p>
        </w:tc>
        <w:tc>
          <w:tcPr>
            <w:tcW w:w="1620" w:type="dxa"/>
            <w:shd w:val="clear" w:color="auto" w:fill="auto"/>
          </w:tcPr>
          <w:p w14:paraId="15F4FE70"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72D1CF7F"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3F9D0A0B" w14:textId="77777777" w:rsidTr="005E6603">
        <w:trPr>
          <w:trHeight w:val="255"/>
        </w:trPr>
        <w:tc>
          <w:tcPr>
            <w:tcW w:w="728" w:type="dxa"/>
            <w:vMerge/>
            <w:shd w:val="clear" w:color="auto" w:fill="auto"/>
          </w:tcPr>
          <w:p w14:paraId="352AA26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3FA49A97" w14:textId="77777777"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iv. Utilize host based firewall to prevent Remote Procedure Call (RPC) and Server Message Block (SMB) communication among endpoints whenever possible. This limits lateral movement as well as other attack activities.</w:t>
            </w:r>
          </w:p>
        </w:tc>
        <w:tc>
          <w:tcPr>
            <w:tcW w:w="1620" w:type="dxa"/>
            <w:shd w:val="clear" w:color="auto" w:fill="auto"/>
          </w:tcPr>
          <w:p w14:paraId="28CB588A"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1C107D21"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74B5318F" w14:textId="77777777" w:rsidTr="005E6603">
        <w:trPr>
          <w:trHeight w:val="417"/>
        </w:trPr>
        <w:tc>
          <w:tcPr>
            <w:tcW w:w="728" w:type="dxa"/>
            <w:vMerge/>
            <w:shd w:val="clear" w:color="auto" w:fill="auto"/>
          </w:tcPr>
          <w:p w14:paraId="06972489"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6F615BC1" w14:textId="77777777"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v. Practice of whitelisting of ports based on business usage at Firewall level should be implemented rather than blacklisting of certain ports. Traffic on all other ports which have not been whitelisted should be blocked by default.</w:t>
            </w:r>
          </w:p>
        </w:tc>
        <w:tc>
          <w:tcPr>
            <w:tcW w:w="1620" w:type="dxa"/>
            <w:shd w:val="clear" w:color="auto" w:fill="auto"/>
          </w:tcPr>
          <w:p w14:paraId="0509FFF7"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6BAD5C27"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25FCBBA4" w14:textId="77777777" w:rsidTr="00F06AE6">
        <w:trPr>
          <w:trHeight w:val="3999"/>
        </w:trPr>
        <w:tc>
          <w:tcPr>
            <w:tcW w:w="728" w:type="dxa"/>
            <w:shd w:val="clear" w:color="auto" w:fill="auto"/>
          </w:tcPr>
          <w:p w14:paraId="663B42A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9</w:t>
            </w:r>
          </w:p>
        </w:tc>
        <w:tc>
          <w:tcPr>
            <w:tcW w:w="6300" w:type="dxa"/>
            <w:shd w:val="clear" w:color="auto" w:fill="auto"/>
          </w:tcPr>
          <w:p w14:paraId="1CECA071"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Security of Cloud Services:</w:t>
            </w:r>
          </w:p>
          <w:p w14:paraId="59BF914D" w14:textId="77777777"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 Check public accessibility of all cloud instances in use. Make sure that no server/bucket is inadvertently leaking data due t</w:t>
            </w:r>
            <w:r w:rsidR="00F06AE6">
              <w:rPr>
                <w:rFonts w:ascii="Calibri" w:eastAsia="Times New Roman" w:hAnsi="Calibri" w:cs="Calibri"/>
                <w:color w:val="000000"/>
                <w:sz w:val="20"/>
                <w:szCs w:val="20"/>
                <w:lang w:eastAsia="en-IN"/>
              </w:rPr>
              <w:t>o inappropriate configurations.</w:t>
            </w:r>
          </w:p>
          <w:p w14:paraId="2BF83C57" w14:textId="77777777"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Ensure proper security of cloud access tokens. The tokens should not be exposed publicly in website source code, any configuration files etc.</w:t>
            </w:r>
          </w:p>
          <w:p w14:paraId="772F9F06" w14:textId="77777777"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iii. Implement appropriate security measures for testing, staging and backup environments hosted on cloud. Ensure that production environment is kept properly segregated from these. Disable/remove older or testing environments if their usage is no longer required.</w:t>
            </w:r>
          </w:p>
          <w:p w14:paraId="0A788BFC" w14:textId="5A4726A0" w:rsidR="00C80214" w:rsidRPr="00882902"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iv. Consider employing hybrid data security tools that focus on operating in a shared responsibility model for cloud-based environments.</w:t>
            </w:r>
          </w:p>
        </w:tc>
        <w:tc>
          <w:tcPr>
            <w:tcW w:w="1620" w:type="dxa"/>
            <w:shd w:val="clear" w:color="auto" w:fill="auto"/>
          </w:tcPr>
          <w:p w14:paraId="4D9F066E"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68C69987"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51DED7B5" w14:textId="77777777" w:rsidTr="005E6603">
        <w:trPr>
          <w:trHeight w:val="784"/>
        </w:trPr>
        <w:tc>
          <w:tcPr>
            <w:tcW w:w="728" w:type="dxa"/>
            <w:shd w:val="clear" w:color="auto" w:fill="auto"/>
            <w:hideMark/>
          </w:tcPr>
          <w:p w14:paraId="6BB7561F" w14:textId="243A4806"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10</w:t>
            </w:r>
          </w:p>
        </w:tc>
        <w:tc>
          <w:tcPr>
            <w:tcW w:w="6300" w:type="dxa"/>
            <w:shd w:val="clear" w:color="auto" w:fill="auto"/>
            <w:hideMark/>
          </w:tcPr>
          <w:p w14:paraId="76A1A5DB"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Implementation of CERT-In/ CSIRT-Fin Advisories:</w:t>
            </w:r>
          </w:p>
          <w:p w14:paraId="736FD167" w14:textId="5FE69545"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The advisories issued by CERT-In should be implemented in letter and spirit by the regulated entities. Additionally, the advisories should be implemented promptly as and when received.</w:t>
            </w:r>
          </w:p>
        </w:tc>
        <w:tc>
          <w:tcPr>
            <w:tcW w:w="1620" w:type="dxa"/>
            <w:shd w:val="clear" w:color="auto" w:fill="auto"/>
            <w:hideMark/>
          </w:tcPr>
          <w:p w14:paraId="23C15D39"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4C221079"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0E73FEFE" w14:textId="77777777" w:rsidTr="005E6603">
        <w:trPr>
          <w:trHeight w:val="1441"/>
        </w:trPr>
        <w:tc>
          <w:tcPr>
            <w:tcW w:w="728" w:type="dxa"/>
            <w:shd w:val="clear" w:color="auto" w:fill="auto"/>
            <w:hideMark/>
          </w:tcPr>
          <w:p w14:paraId="6D062E37"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11</w:t>
            </w:r>
          </w:p>
        </w:tc>
        <w:tc>
          <w:tcPr>
            <w:tcW w:w="6300" w:type="dxa"/>
            <w:shd w:val="clear" w:color="auto" w:fill="auto"/>
            <w:hideMark/>
          </w:tcPr>
          <w:p w14:paraId="2BF967B6"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Concentration Risk on Outsourced Agencies:</w:t>
            </w:r>
          </w:p>
          <w:p w14:paraId="08D67949" w14:textId="7D47556B"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 It has been observed that single third party vendors are providing services to multiple R</w:t>
            </w:r>
            <w:r w:rsidR="004867F2">
              <w:rPr>
                <w:rFonts w:ascii="Calibri" w:eastAsia="Times New Roman" w:hAnsi="Calibri" w:cs="Calibri"/>
                <w:color w:val="000000"/>
                <w:sz w:val="20"/>
                <w:szCs w:val="20"/>
                <w:lang w:eastAsia="en-IN"/>
              </w:rPr>
              <w:t>E</w:t>
            </w:r>
            <w:r w:rsidRPr="00882902">
              <w:rPr>
                <w:rFonts w:ascii="Calibri" w:eastAsia="Times New Roman" w:hAnsi="Calibri" w:cs="Calibri"/>
                <w:color w:val="000000"/>
                <w:sz w:val="20"/>
                <w:szCs w:val="20"/>
                <w:lang w:eastAsia="en-IN"/>
              </w:rPr>
              <w:t>s</w:t>
            </w:r>
            <w:r>
              <w:rPr>
                <w:rFonts w:ascii="Calibri" w:eastAsia="Times New Roman" w:hAnsi="Calibri" w:cs="Calibri"/>
                <w:color w:val="000000"/>
                <w:sz w:val="20"/>
                <w:szCs w:val="20"/>
                <w:lang w:eastAsia="en-IN"/>
              </w:rPr>
              <w:t>/Members</w:t>
            </w:r>
            <w:r w:rsidRPr="00882902">
              <w:rPr>
                <w:rFonts w:ascii="Calibri" w:eastAsia="Times New Roman" w:hAnsi="Calibri" w:cs="Calibri"/>
                <w:color w:val="000000"/>
                <w:sz w:val="20"/>
                <w:szCs w:val="20"/>
                <w:lang w:eastAsia="en-IN"/>
              </w:rPr>
              <w:t>, which creates concentration risk. Here, such third parties though being small non-financial organizations, if any cyberattack, ha</w:t>
            </w:r>
            <w:bookmarkStart w:id="0" w:name="_GoBack"/>
            <w:bookmarkEnd w:id="0"/>
            <w:r w:rsidRPr="00882902">
              <w:rPr>
                <w:rFonts w:ascii="Calibri" w:eastAsia="Times New Roman" w:hAnsi="Calibri" w:cs="Calibri"/>
                <w:color w:val="000000"/>
                <w:sz w:val="20"/>
                <w:szCs w:val="20"/>
                <w:lang w:eastAsia="en-IN"/>
              </w:rPr>
              <w:t xml:space="preserve">ppens at such organizations, the same could have systemic implication </w:t>
            </w:r>
            <w:r w:rsidR="00F06AE6">
              <w:rPr>
                <w:rFonts w:ascii="Calibri" w:eastAsia="Times New Roman" w:hAnsi="Calibri" w:cs="Calibri"/>
                <w:color w:val="000000"/>
                <w:sz w:val="20"/>
                <w:szCs w:val="20"/>
                <w:lang w:eastAsia="en-IN"/>
              </w:rPr>
              <w:t>due to high concentration risk.</w:t>
            </w:r>
          </w:p>
          <w:p w14:paraId="6A30C864" w14:textId="3BB42404" w:rsidR="00F06AE6"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ii. Thus, there is a need for identification of such organizations and prescribing specific cyber security controls, including audit of their systems and protocols from independent auditors, to mitigate such concentration risk.</w:t>
            </w:r>
          </w:p>
          <w:p w14:paraId="2127F0AA" w14:textId="3522042D"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 xml:space="preserve">iii. Further, </w:t>
            </w:r>
            <w:r>
              <w:rPr>
                <w:rFonts w:ascii="Calibri" w:eastAsia="Times New Roman" w:hAnsi="Calibri" w:cs="Calibri"/>
                <w:color w:val="000000"/>
                <w:sz w:val="20"/>
                <w:szCs w:val="20"/>
                <w:lang w:eastAsia="en-IN"/>
              </w:rPr>
              <w:t xml:space="preserve">REs/Member </w:t>
            </w:r>
            <w:r w:rsidRPr="00882902">
              <w:rPr>
                <w:rFonts w:ascii="Calibri" w:eastAsia="Times New Roman" w:hAnsi="Calibri" w:cs="Calibri"/>
                <w:color w:val="000000"/>
                <w:sz w:val="20"/>
                <w:szCs w:val="20"/>
                <w:lang w:eastAsia="en-IN"/>
              </w:rPr>
              <w:t>also need to take into account this concentration risk while outsourcing multiple critical services to the same vendor.</w:t>
            </w:r>
          </w:p>
        </w:tc>
        <w:tc>
          <w:tcPr>
            <w:tcW w:w="1620" w:type="dxa"/>
            <w:shd w:val="clear" w:color="auto" w:fill="auto"/>
            <w:hideMark/>
          </w:tcPr>
          <w:p w14:paraId="144866D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389D87EA"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C80214" w:rsidRPr="00882902" w14:paraId="1A7BE47E" w14:textId="77777777" w:rsidTr="005E6603">
        <w:trPr>
          <w:trHeight w:val="863"/>
        </w:trPr>
        <w:tc>
          <w:tcPr>
            <w:tcW w:w="728" w:type="dxa"/>
            <w:shd w:val="clear" w:color="auto" w:fill="auto"/>
            <w:hideMark/>
          </w:tcPr>
          <w:p w14:paraId="130A07BB" w14:textId="26F7921B" w:rsidR="00C80214" w:rsidRPr="00882902" w:rsidRDefault="00C80214" w:rsidP="00CF3780">
            <w:pPr>
              <w:spacing w:line="240" w:lineRule="auto"/>
              <w:jc w:val="center"/>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12</w:t>
            </w:r>
          </w:p>
        </w:tc>
        <w:tc>
          <w:tcPr>
            <w:tcW w:w="6300" w:type="dxa"/>
            <w:shd w:val="clear" w:color="auto" w:fill="auto"/>
            <w:hideMark/>
          </w:tcPr>
          <w:p w14:paraId="02ACCC36" w14:textId="77777777" w:rsidR="00F06AE6" w:rsidRDefault="00C80214"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b/>
                <w:bCs/>
                <w:color w:val="000000"/>
                <w:sz w:val="20"/>
                <w:szCs w:val="20"/>
                <w:lang w:eastAsia="en-IN"/>
              </w:rPr>
              <w:t>Audit and ISO Certification:</w:t>
            </w:r>
          </w:p>
          <w:p w14:paraId="02D73FEB" w14:textId="674A9DED" w:rsidR="00C80214" w:rsidRPr="00882902" w:rsidRDefault="00C80214" w:rsidP="00CF3780">
            <w:pPr>
              <w:spacing w:line="240" w:lineRule="auto"/>
              <w:jc w:val="both"/>
              <w:rPr>
                <w:rFonts w:ascii="Calibri" w:eastAsia="Times New Roman" w:hAnsi="Calibri" w:cs="Calibri"/>
                <w:color w:val="000000"/>
                <w:sz w:val="20"/>
                <w:szCs w:val="20"/>
                <w:lang w:eastAsia="en-IN"/>
              </w:rPr>
            </w:pPr>
            <w:r w:rsidRPr="00882902">
              <w:rPr>
                <w:rFonts w:ascii="Calibri" w:eastAsia="Times New Roman" w:hAnsi="Calibri" w:cs="Calibri"/>
                <w:color w:val="000000"/>
                <w:sz w:val="20"/>
                <w:szCs w:val="20"/>
                <w:lang w:eastAsia="en-IN"/>
              </w:rPr>
              <w:t xml:space="preserve">i. SEBI’s instructions on external audit of </w:t>
            </w:r>
            <w:r>
              <w:rPr>
                <w:rFonts w:ascii="Calibri" w:eastAsia="Times New Roman" w:hAnsi="Calibri" w:cs="Calibri"/>
                <w:color w:val="000000"/>
                <w:sz w:val="20"/>
                <w:szCs w:val="20"/>
                <w:lang w:eastAsia="en-IN"/>
              </w:rPr>
              <w:t xml:space="preserve">REs/Member </w:t>
            </w:r>
            <w:r w:rsidRPr="00882902">
              <w:rPr>
                <w:rFonts w:ascii="Calibri" w:eastAsia="Times New Roman" w:hAnsi="Calibri" w:cs="Calibri"/>
                <w:color w:val="000000"/>
                <w:sz w:val="20"/>
                <w:szCs w:val="20"/>
                <w:lang w:eastAsia="en-IN"/>
              </w:rPr>
              <w:t>by independent auditors empanelled by CERT-In should be complied with in letter and spirit.</w:t>
            </w:r>
          </w:p>
        </w:tc>
        <w:tc>
          <w:tcPr>
            <w:tcW w:w="1620" w:type="dxa"/>
            <w:shd w:val="clear" w:color="auto" w:fill="auto"/>
            <w:hideMark/>
          </w:tcPr>
          <w:p w14:paraId="16BBC994"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c>
          <w:tcPr>
            <w:tcW w:w="1837" w:type="dxa"/>
          </w:tcPr>
          <w:p w14:paraId="3D30F6E1" w14:textId="77777777" w:rsidR="00C80214" w:rsidRPr="00882902" w:rsidRDefault="00C80214" w:rsidP="00CF3780">
            <w:pPr>
              <w:spacing w:line="240" w:lineRule="auto"/>
              <w:jc w:val="center"/>
              <w:rPr>
                <w:rFonts w:ascii="Calibri" w:eastAsia="Times New Roman" w:hAnsi="Calibri" w:cs="Calibri"/>
                <w:color w:val="000000"/>
                <w:sz w:val="20"/>
                <w:szCs w:val="20"/>
                <w:lang w:eastAsia="en-IN"/>
              </w:rPr>
            </w:pPr>
          </w:p>
        </w:tc>
      </w:tr>
      <w:tr w:rsidR="005E348B" w:rsidRPr="00882902" w14:paraId="7582C2DD" w14:textId="77777777" w:rsidTr="005E6603">
        <w:trPr>
          <w:trHeight w:val="863"/>
        </w:trPr>
        <w:tc>
          <w:tcPr>
            <w:tcW w:w="728" w:type="dxa"/>
            <w:shd w:val="clear" w:color="auto" w:fill="auto"/>
          </w:tcPr>
          <w:p w14:paraId="1DF96595" w14:textId="77777777" w:rsidR="005E348B" w:rsidRPr="00882902" w:rsidRDefault="005E348B"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03BAB443" w14:textId="77777777" w:rsidR="005E348B" w:rsidRPr="00882902" w:rsidRDefault="005E348B"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 xml:space="preserve">ii. The </w:t>
            </w:r>
            <w:r>
              <w:rPr>
                <w:rFonts w:ascii="Calibri" w:eastAsia="Times New Roman" w:hAnsi="Calibri" w:cs="Calibri"/>
                <w:color w:val="000000"/>
                <w:sz w:val="20"/>
                <w:szCs w:val="20"/>
                <w:lang w:eastAsia="en-IN"/>
              </w:rPr>
              <w:t xml:space="preserve">REs/Member </w:t>
            </w:r>
            <w:r w:rsidRPr="00882902">
              <w:rPr>
                <w:rFonts w:ascii="Calibri" w:eastAsia="Times New Roman" w:hAnsi="Calibri" w:cs="Calibri"/>
                <w:color w:val="000000"/>
                <w:sz w:val="20"/>
                <w:szCs w:val="20"/>
                <w:lang w:eastAsia="en-IN"/>
              </w:rPr>
              <w:t>are also advised to go for ISO certification as the same provides a reasonable assurance on the preparedness of the RE</w:t>
            </w:r>
            <w:r>
              <w:rPr>
                <w:rFonts w:ascii="Calibri" w:eastAsia="Times New Roman" w:hAnsi="Calibri" w:cs="Calibri"/>
                <w:color w:val="000000"/>
                <w:sz w:val="20"/>
                <w:szCs w:val="20"/>
                <w:lang w:eastAsia="en-IN"/>
              </w:rPr>
              <w:t>/Member</w:t>
            </w:r>
            <w:r w:rsidRPr="00882902">
              <w:rPr>
                <w:rFonts w:ascii="Calibri" w:eastAsia="Times New Roman" w:hAnsi="Calibri" w:cs="Calibri"/>
                <w:color w:val="000000"/>
                <w:sz w:val="20"/>
                <w:szCs w:val="20"/>
                <w:lang w:eastAsia="en-IN"/>
              </w:rPr>
              <w:t xml:space="preserve"> with respect to cybersecurity.</w:t>
            </w:r>
          </w:p>
        </w:tc>
        <w:tc>
          <w:tcPr>
            <w:tcW w:w="1620" w:type="dxa"/>
            <w:shd w:val="clear" w:color="auto" w:fill="auto"/>
          </w:tcPr>
          <w:p w14:paraId="2CA22B7C" w14:textId="77777777" w:rsidR="005E348B" w:rsidRPr="00882902" w:rsidRDefault="005E348B" w:rsidP="00CF3780">
            <w:pPr>
              <w:spacing w:line="240" w:lineRule="auto"/>
              <w:jc w:val="center"/>
              <w:rPr>
                <w:rFonts w:ascii="Calibri" w:eastAsia="Times New Roman" w:hAnsi="Calibri" w:cs="Calibri"/>
                <w:color w:val="000000"/>
                <w:sz w:val="20"/>
                <w:szCs w:val="20"/>
                <w:lang w:eastAsia="en-IN"/>
              </w:rPr>
            </w:pPr>
          </w:p>
        </w:tc>
        <w:tc>
          <w:tcPr>
            <w:tcW w:w="1837" w:type="dxa"/>
          </w:tcPr>
          <w:p w14:paraId="646AEFEA" w14:textId="77777777" w:rsidR="005E348B" w:rsidRDefault="005E348B" w:rsidP="00CF3780">
            <w:pPr>
              <w:spacing w:line="240" w:lineRule="auto"/>
              <w:jc w:val="center"/>
              <w:rPr>
                <w:rFonts w:ascii="Calibri" w:eastAsia="Times New Roman" w:hAnsi="Calibri" w:cs="Calibri"/>
                <w:color w:val="000000"/>
                <w:sz w:val="20"/>
                <w:szCs w:val="20"/>
                <w:lang w:eastAsia="en-IN"/>
              </w:rPr>
            </w:pPr>
          </w:p>
        </w:tc>
      </w:tr>
      <w:tr w:rsidR="005E348B" w:rsidRPr="00882902" w14:paraId="435EE5D5" w14:textId="77777777" w:rsidTr="005E6603">
        <w:trPr>
          <w:trHeight w:val="863"/>
        </w:trPr>
        <w:tc>
          <w:tcPr>
            <w:tcW w:w="728" w:type="dxa"/>
            <w:shd w:val="clear" w:color="auto" w:fill="auto"/>
          </w:tcPr>
          <w:p w14:paraId="347A96D7" w14:textId="77777777" w:rsidR="005E348B" w:rsidRPr="00882902" w:rsidRDefault="005E348B" w:rsidP="00CF3780">
            <w:pPr>
              <w:spacing w:line="240" w:lineRule="auto"/>
              <w:jc w:val="center"/>
              <w:rPr>
                <w:rFonts w:ascii="Calibri" w:eastAsia="Times New Roman" w:hAnsi="Calibri" w:cs="Calibri"/>
                <w:color w:val="000000"/>
                <w:sz w:val="20"/>
                <w:szCs w:val="20"/>
                <w:lang w:eastAsia="en-IN"/>
              </w:rPr>
            </w:pPr>
          </w:p>
        </w:tc>
        <w:tc>
          <w:tcPr>
            <w:tcW w:w="6300" w:type="dxa"/>
            <w:shd w:val="clear" w:color="auto" w:fill="auto"/>
          </w:tcPr>
          <w:p w14:paraId="5DF98800" w14:textId="77777777" w:rsidR="005E348B" w:rsidRPr="00882902" w:rsidRDefault="005E348B" w:rsidP="00CF3780">
            <w:pPr>
              <w:spacing w:line="240" w:lineRule="auto"/>
              <w:jc w:val="both"/>
              <w:rPr>
                <w:rFonts w:ascii="Calibri" w:eastAsia="Times New Roman" w:hAnsi="Calibri" w:cs="Calibri"/>
                <w:b/>
                <w:bCs/>
                <w:color w:val="000000"/>
                <w:sz w:val="20"/>
                <w:szCs w:val="20"/>
                <w:lang w:eastAsia="en-IN"/>
              </w:rPr>
            </w:pPr>
            <w:r w:rsidRPr="00882902">
              <w:rPr>
                <w:rFonts w:ascii="Calibri" w:eastAsia="Times New Roman" w:hAnsi="Calibri" w:cs="Calibri"/>
                <w:color w:val="000000"/>
                <w:sz w:val="20"/>
                <w:szCs w:val="20"/>
                <w:lang w:eastAsia="en-IN"/>
              </w:rPr>
              <w:t>iii. Due diligence with respect to audit process and tools used for such audit needs to be undertaken to ensure competence and effectiveness of audits</w:t>
            </w:r>
          </w:p>
        </w:tc>
        <w:tc>
          <w:tcPr>
            <w:tcW w:w="1620" w:type="dxa"/>
            <w:shd w:val="clear" w:color="auto" w:fill="auto"/>
          </w:tcPr>
          <w:p w14:paraId="48E3564B" w14:textId="77777777" w:rsidR="005E348B" w:rsidRPr="00882902" w:rsidRDefault="005E348B" w:rsidP="00CF3780">
            <w:pPr>
              <w:spacing w:line="240" w:lineRule="auto"/>
              <w:jc w:val="center"/>
              <w:rPr>
                <w:rFonts w:ascii="Calibri" w:eastAsia="Times New Roman" w:hAnsi="Calibri" w:cs="Calibri"/>
                <w:color w:val="000000"/>
                <w:sz w:val="20"/>
                <w:szCs w:val="20"/>
                <w:lang w:eastAsia="en-IN"/>
              </w:rPr>
            </w:pPr>
          </w:p>
        </w:tc>
        <w:tc>
          <w:tcPr>
            <w:tcW w:w="1837" w:type="dxa"/>
          </w:tcPr>
          <w:p w14:paraId="54726378" w14:textId="77777777" w:rsidR="005E348B" w:rsidRDefault="005E348B" w:rsidP="00CF3780">
            <w:pPr>
              <w:spacing w:line="240" w:lineRule="auto"/>
              <w:jc w:val="center"/>
              <w:rPr>
                <w:rFonts w:ascii="Calibri" w:eastAsia="Times New Roman" w:hAnsi="Calibri" w:cs="Calibri"/>
                <w:color w:val="000000"/>
                <w:sz w:val="20"/>
                <w:szCs w:val="20"/>
                <w:lang w:eastAsia="en-IN"/>
              </w:rPr>
            </w:pPr>
          </w:p>
        </w:tc>
      </w:tr>
    </w:tbl>
    <w:p w14:paraId="2AA40428" w14:textId="344A0837" w:rsidR="006B3C6F" w:rsidRDefault="00875B27" w:rsidP="00CF3780">
      <w:pPr>
        <w:spacing w:line="240" w:lineRule="auto"/>
        <w:jc w:val="both"/>
        <w:rPr>
          <w:sz w:val="20"/>
          <w:szCs w:val="20"/>
        </w:rPr>
      </w:pPr>
      <w:r>
        <w:rPr>
          <w:sz w:val="20"/>
          <w:szCs w:val="20"/>
        </w:rPr>
        <w:br w:type="textWrapping" w:clear="all"/>
      </w:r>
    </w:p>
    <w:p w14:paraId="71403BF5" w14:textId="77777777" w:rsidR="005E348B" w:rsidRDefault="005E348B" w:rsidP="00CF3780">
      <w:pPr>
        <w:spacing w:line="240" w:lineRule="auto"/>
        <w:jc w:val="both"/>
        <w:rPr>
          <w:sz w:val="20"/>
          <w:szCs w:val="20"/>
        </w:rPr>
      </w:pPr>
      <w:r>
        <w:t>I/We certify that all the statements are true and correct to the best of our knowledge.</w:t>
      </w:r>
    </w:p>
    <w:p w14:paraId="48492681" w14:textId="77777777" w:rsidR="00C80214" w:rsidRDefault="00C80214" w:rsidP="00CF3780">
      <w:pPr>
        <w:spacing w:line="240" w:lineRule="auto"/>
        <w:jc w:val="both"/>
        <w:rPr>
          <w:sz w:val="20"/>
          <w:szCs w:val="20"/>
        </w:rPr>
      </w:pPr>
    </w:p>
    <w:p w14:paraId="5C6A0C6C" w14:textId="0A9D55DD" w:rsidR="001C750D" w:rsidRPr="0047370C" w:rsidRDefault="001C750D" w:rsidP="00CF3780">
      <w:pPr>
        <w:spacing w:line="240" w:lineRule="auto"/>
        <w:jc w:val="both"/>
        <w:rPr>
          <w:b/>
          <w:bCs/>
        </w:rPr>
      </w:pPr>
      <w:r w:rsidRPr="0047370C">
        <w:rPr>
          <w:b/>
          <w:bCs/>
        </w:rPr>
        <w:t>Place:</w:t>
      </w:r>
      <w:r w:rsidR="001B5F46">
        <w:rPr>
          <w:b/>
          <w:bCs/>
        </w:rPr>
        <w:t xml:space="preserve"> </w:t>
      </w:r>
      <w:r w:rsidR="00530E9B">
        <w:rPr>
          <w:b/>
          <w:bCs/>
        </w:rPr>
        <w:tab/>
      </w:r>
      <w:r w:rsidR="00B86DFF">
        <w:rPr>
          <w:b/>
          <w:bCs/>
        </w:rPr>
        <w:tab/>
      </w:r>
      <w:r w:rsidR="00B86DFF">
        <w:rPr>
          <w:b/>
          <w:bCs/>
        </w:rPr>
        <w:tab/>
      </w:r>
      <w:r w:rsidR="00B86DFF">
        <w:rPr>
          <w:b/>
          <w:bCs/>
        </w:rPr>
        <w:tab/>
      </w:r>
      <w:r w:rsidR="00B86DFF">
        <w:rPr>
          <w:b/>
          <w:bCs/>
        </w:rPr>
        <w:tab/>
      </w:r>
      <w:r w:rsidR="00B86DFF">
        <w:rPr>
          <w:b/>
          <w:bCs/>
        </w:rPr>
        <w:tab/>
      </w:r>
      <w:r w:rsidR="00B86DFF">
        <w:rPr>
          <w:b/>
          <w:bCs/>
        </w:rPr>
        <w:tab/>
      </w:r>
      <w:r w:rsidR="00B86DFF">
        <w:rPr>
          <w:b/>
          <w:bCs/>
        </w:rPr>
        <w:tab/>
      </w:r>
    </w:p>
    <w:p w14:paraId="39A8E605" w14:textId="60DC4212" w:rsidR="00B86DFF" w:rsidRPr="0047370C" w:rsidRDefault="001C750D" w:rsidP="00CF3780">
      <w:pPr>
        <w:spacing w:line="240" w:lineRule="auto"/>
        <w:jc w:val="both"/>
        <w:rPr>
          <w:b/>
          <w:bCs/>
        </w:rPr>
      </w:pPr>
      <w:r w:rsidRPr="0047370C">
        <w:rPr>
          <w:b/>
          <w:bCs/>
        </w:rPr>
        <w:t>Date:</w:t>
      </w:r>
      <w:r w:rsidR="00B86DFF">
        <w:rPr>
          <w:b/>
          <w:bCs/>
        </w:rPr>
        <w:tab/>
      </w:r>
      <w:r w:rsidR="00B86DFF">
        <w:rPr>
          <w:b/>
          <w:bCs/>
        </w:rPr>
        <w:tab/>
      </w:r>
      <w:r w:rsidR="00B86DFF">
        <w:rPr>
          <w:b/>
          <w:bCs/>
        </w:rPr>
        <w:tab/>
      </w:r>
      <w:r w:rsidR="00B86DFF">
        <w:rPr>
          <w:b/>
          <w:bCs/>
        </w:rPr>
        <w:tab/>
      </w:r>
      <w:r w:rsidR="00B86DFF">
        <w:rPr>
          <w:b/>
          <w:bCs/>
        </w:rPr>
        <w:tab/>
      </w:r>
    </w:p>
    <w:p w14:paraId="6CBF86A5" w14:textId="6C91FC52" w:rsidR="008D572C" w:rsidRDefault="008D572C" w:rsidP="00CF3780">
      <w:pPr>
        <w:spacing w:line="240" w:lineRule="auto"/>
        <w:ind w:left="5760" w:hanging="5760"/>
        <w:jc w:val="both"/>
        <w:rPr>
          <w:b/>
          <w:bCs/>
        </w:rPr>
      </w:pPr>
      <w:r>
        <w:rPr>
          <w:b/>
          <w:bCs/>
        </w:rPr>
        <w:t xml:space="preserve">Digital </w:t>
      </w:r>
      <w:r w:rsidRPr="0047370C">
        <w:rPr>
          <w:b/>
          <w:bCs/>
        </w:rPr>
        <w:t xml:space="preserve">Signature of </w:t>
      </w:r>
      <w:r>
        <w:rPr>
          <w:b/>
          <w:bCs/>
        </w:rPr>
        <w:t>CISO/Compliance Head/Designated Director</w:t>
      </w:r>
    </w:p>
    <w:p w14:paraId="33F7C0D3" w14:textId="62FF0714" w:rsidR="00B86DFF" w:rsidRDefault="00B86DFF" w:rsidP="00CF3780">
      <w:pPr>
        <w:spacing w:line="240" w:lineRule="auto"/>
        <w:ind w:left="5760" w:hanging="5760"/>
        <w:rPr>
          <w:b/>
          <w:bCs/>
        </w:rPr>
      </w:pPr>
      <w:r>
        <w:rPr>
          <w:b/>
          <w:bCs/>
        </w:rPr>
        <w:tab/>
      </w:r>
    </w:p>
    <w:p w14:paraId="11D21E6C" w14:textId="42AD2037" w:rsidR="001C750D" w:rsidRDefault="001C750D" w:rsidP="00CF3780">
      <w:pPr>
        <w:spacing w:line="240" w:lineRule="auto"/>
        <w:rPr>
          <w:b/>
          <w:bCs/>
        </w:rPr>
      </w:pPr>
    </w:p>
    <w:p w14:paraId="64AB35FC" w14:textId="1742F684" w:rsidR="00B86DFF" w:rsidRDefault="00B86DFF" w:rsidP="00CF3780">
      <w:pPr>
        <w:spacing w:line="240" w:lineRule="auto"/>
        <w:rPr>
          <w:b/>
          <w:bCs/>
        </w:rPr>
      </w:pPr>
    </w:p>
    <w:p w14:paraId="7EF7E3FE" w14:textId="77777777" w:rsidR="00B86DFF" w:rsidRDefault="00B86DFF" w:rsidP="00CF3780">
      <w:pPr>
        <w:spacing w:line="240" w:lineRule="auto"/>
        <w:rPr>
          <w:b/>
          <w:bCs/>
        </w:rPr>
      </w:pPr>
    </w:p>
    <w:p w14:paraId="095B80A6" w14:textId="77777777" w:rsidR="00C80214" w:rsidRPr="00AA038E" w:rsidRDefault="00C80214" w:rsidP="00CF3780">
      <w:pPr>
        <w:spacing w:line="240" w:lineRule="auto"/>
        <w:rPr>
          <w:sz w:val="20"/>
          <w:szCs w:val="20"/>
        </w:rPr>
      </w:pPr>
    </w:p>
    <w:sectPr w:rsidR="00C80214" w:rsidRPr="00AA038E" w:rsidSect="008C768A">
      <w:pgSz w:w="11906" w:h="16838"/>
      <w:pgMar w:top="1134" w:right="720" w:bottom="1701"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B14BF" w14:textId="77777777" w:rsidR="00E158A4" w:rsidRDefault="00E158A4" w:rsidP="00875B27">
      <w:pPr>
        <w:spacing w:after="0" w:line="240" w:lineRule="auto"/>
      </w:pPr>
      <w:r>
        <w:separator/>
      </w:r>
    </w:p>
  </w:endnote>
  <w:endnote w:type="continuationSeparator" w:id="0">
    <w:p w14:paraId="61EAF9DA" w14:textId="77777777" w:rsidR="00E158A4" w:rsidRDefault="00E158A4" w:rsidP="00875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57D5A" w14:textId="77777777" w:rsidR="00E158A4" w:rsidRDefault="00E158A4" w:rsidP="00875B27">
      <w:pPr>
        <w:spacing w:after="0" w:line="240" w:lineRule="auto"/>
      </w:pPr>
      <w:r>
        <w:separator/>
      </w:r>
    </w:p>
  </w:footnote>
  <w:footnote w:type="continuationSeparator" w:id="0">
    <w:p w14:paraId="5332B006" w14:textId="77777777" w:rsidR="00E158A4" w:rsidRDefault="00E158A4" w:rsidP="00875B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051A5"/>
    <w:multiLevelType w:val="hybridMultilevel"/>
    <w:tmpl w:val="04B4E244"/>
    <w:lvl w:ilvl="0" w:tplc="528A0E6E">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1222D6D"/>
    <w:multiLevelType w:val="hybridMultilevel"/>
    <w:tmpl w:val="9D6A6F7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15:restartNumberingAfterBreak="0">
    <w:nsid w:val="3DFD5B2A"/>
    <w:multiLevelType w:val="hybridMultilevel"/>
    <w:tmpl w:val="718475AC"/>
    <w:lvl w:ilvl="0" w:tplc="A6849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472"/>
    <w:rsid w:val="000336B2"/>
    <w:rsid w:val="000507B0"/>
    <w:rsid w:val="00080979"/>
    <w:rsid w:val="00086D8D"/>
    <w:rsid w:val="00086F95"/>
    <w:rsid w:val="00090EB4"/>
    <w:rsid w:val="000B2DAC"/>
    <w:rsid w:val="000B5844"/>
    <w:rsid w:val="000D2412"/>
    <w:rsid w:val="000E46EB"/>
    <w:rsid w:val="000E7E8C"/>
    <w:rsid w:val="00155348"/>
    <w:rsid w:val="00157E56"/>
    <w:rsid w:val="001A7E8D"/>
    <w:rsid w:val="001B5F46"/>
    <w:rsid w:val="001C750D"/>
    <w:rsid w:val="0023194B"/>
    <w:rsid w:val="0023514F"/>
    <w:rsid w:val="002509FA"/>
    <w:rsid w:val="00270D39"/>
    <w:rsid w:val="00276E48"/>
    <w:rsid w:val="00297CCB"/>
    <w:rsid w:val="002A722C"/>
    <w:rsid w:val="002C57A6"/>
    <w:rsid w:val="003675EA"/>
    <w:rsid w:val="00392C96"/>
    <w:rsid w:val="003A5130"/>
    <w:rsid w:val="003B2DA9"/>
    <w:rsid w:val="003B3E84"/>
    <w:rsid w:val="003B72C5"/>
    <w:rsid w:val="003D3D59"/>
    <w:rsid w:val="0047370C"/>
    <w:rsid w:val="004867F2"/>
    <w:rsid w:val="00507F85"/>
    <w:rsid w:val="00530E9B"/>
    <w:rsid w:val="0053417B"/>
    <w:rsid w:val="00571659"/>
    <w:rsid w:val="00573213"/>
    <w:rsid w:val="00593A78"/>
    <w:rsid w:val="005C1E09"/>
    <w:rsid w:val="005C5179"/>
    <w:rsid w:val="005E348B"/>
    <w:rsid w:val="005E6603"/>
    <w:rsid w:val="00625C6A"/>
    <w:rsid w:val="006269C7"/>
    <w:rsid w:val="00635971"/>
    <w:rsid w:val="006B1EAC"/>
    <w:rsid w:val="006B3C6F"/>
    <w:rsid w:val="00731BAF"/>
    <w:rsid w:val="00741E61"/>
    <w:rsid w:val="0079057A"/>
    <w:rsid w:val="007A4F33"/>
    <w:rsid w:val="007E6938"/>
    <w:rsid w:val="0082673A"/>
    <w:rsid w:val="00835B10"/>
    <w:rsid w:val="00844206"/>
    <w:rsid w:val="00875B27"/>
    <w:rsid w:val="00882902"/>
    <w:rsid w:val="008C2582"/>
    <w:rsid w:val="008C768A"/>
    <w:rsid w:val="008D572C"/>
    <w:rsid w:val="008F1709"/>
    <w:rsid w:val="00920DAE"/>
    <w:rsid w:val="0093037B"/>
    <w:rsid w:val="00935CFC"/>
    <w:rsid w:val="00953D33"/>
    <w:rsid w:val="009567F9"/>
    <w:rsid w:val="00990120"/>
    <w:rsid w:val="009910D1"/>
    <w:rsid w:val="009A373D"/>
    <w:rsid w:val="009A6A43"/>
    <w:rsid w:val="009B6831"/>
    <w:rsid w:val="00A014DB"/>
    <w:rsid w:val="00A13FF6"/>
    <w:rsid w:val="00A8709C"/>
    <w:rsid w:val="00AA038E"/>
    <w:rsid w:val="00AF5E48"/>
    <w:rsid w:val="00B86DFF"/>
    <w:rsid w:val="00BC0465"/>
    <w:rsid w:val="00BD5429"/>
    <w:rsid w:val="00C0026B"/>
    <w:rsid w:val="00C43082"/>
    <w:rsid w:val="00C433AA"/>
    <w:rsid w:val="00C44077"/>
    <w:rsid w:val="00C74E14"/>
    <w:rsid w:val="00C80214"/>
    <w:rsid w:val="00CC33A7"/>
    <w:rsid w:val="00CE2388"/>
    <w:rsid w:val="00CE2CAB"/>
    <w:rsid w:val="00CF3780"/>
    <w:rsid w:val="00D206DF"/>
    <w:rsid w:val="00D34422"/>
    <w:rsid w:val="00D36472"/>
    <w:rsid w:val="00D63F73"/>
    <w:rsid w:val="00E016B6"/>
    <w:rsid w:val="00E13090"/>
    <w:rsid w:val="00E13811"/>
    <w:rsid w:val="00E158A4"/>
    <w:rsid w:val="00E21ED0"/>
    <w:rsid w:val="00E32E89"/>
    <w:rsid w:val="00E34B60"/>
    <w:rsid w:val="00E406CB"/>
    <w:rsid w:val="00E748B8"/>
    <w:rsid w:val="00E86ECA"/>
    <w:rsid w:val="00EA304A"/>
    <w:rsid w:val="00EA4EF4"/>
    <w:rsid w:val="00F00612"/>
    <w:rsid w:val="00F06AE6"/>
    <w:rsid w:val="00F210D3"/>
    <w:rsid w:val="00F217B5"/>
    <w:rsid w:val="00F25832"/>
    <w:rsid w:val="00F421E5"/>
    <w:rsid w:val="00F72116"/>
    <w:rsid w:val="00F754EF"/>
    <w:rsid w:val="00F84E79"/>
    <w:rsid w:val="00F869B6"/>
    <w:rsid w:val="00FA6E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516F1"/>
  <w15:chartTrackingRefBased/>
  <w15:docId w15:val="{967F147C-592F-4117-B98C-736B1AEE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3A78"/>
    <w:pPr>
      <w:ind w:left="720"/>
      <w:contextualSpacing/>
    </w:pPr>
  </w:style>
  <w:style w:type="paragraph" w:styleId="BalloonText">
    <w:name w:val="Balloon Text"/>
    <w:basedOn w:val="Normal"/>
    <w:link w:val="BalloonTextChar"/>
    <w:uiPriority w:val="99"/>
    <w:semiHidden/>
    <w:unhideWhenUsed/>
    <w:rsid w:val="008829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902"/>
    <w:rPr>
      <w:rFonts w:ascii="Segoe UI" w:hAnsi="Segoe UI" w:cs="Segoe UI"/>
      <w:sz w:val="18"/>
      <w:szCs w:val="18"/>
    </w:rPr>
  </w:style>
  <w:style w:type="paragraph" w:styleId="Header">
    <w:name w:val="header"/>
    <w:basedOn w:val="Normal"/>
    <w:link w:val="HeaderChar"/>
    <w:uiPriority w:val="99"/>
    <w:unhideWhenUsed/>
    <w:rsid w:val="00875B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B27"/>
  </w:style>
  <w:style w:type="paragraph" w:styleId="Footer">
    <w:name w:val="footer"/>
    <w:basedOn w:val="Normal"/>
    <w:link w:val="FooterChar"/>
    <w:uiPriority w:val="99"/>
    <w:unhideWhenUsed/>
    <w:rsid w:val="00875B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B27"/>
  </w:style>
  <w:style w:type="paragraph" w:styleId="Revision">
    <w:name w:val="Revision"/>
    <w:hidden/>
    <w:uiPriority w:val="99"/>
    <w:semiHidden/>
    <w:rsid w:val="00A870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66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1</SNO>
  <KDate>2023-05-24 12:08:37</KDate>
  <Classification>BSE - INTERNAL</Classification>
  <Subclassification/>
  <HostName>BSEF09EL19</HostName>
  <Domain_User>BSELTD/asas.atul</Domain_User>
  <IPAdd>10.228.14.73</IPAdd>
  <FilePath>C:\Users\asas.atul\Desktop\Cyber_Compliance_Letter_SEBI_Circular_for_RE_22_Feb 2022.docx</FilePath>
  <KID>D45D646E18DA638205269174190241</KID>
  <UniqueName/>
  <Suggested/>
  <Justification/>
</Klassif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9EED-3DC7-4D03-99C9-C66849B4F9D9}">
  <ds:schemaRefs/>
</ds:datastoreItem>
</file>

<file path=customXml/itemProps2.xml><?xml version="1.0" encoding="utf-8"?>
<ds:datastoreItem xmlns:ds="http://schemas.openxmlformats.org/officeDocument/2006/customXml" ds:itemID="{3C15CF87-DBE2-459D-8414-C7B0039D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Swapnali Palav/MCX/Technology</dc:creator>
  <cp:keywords/>
  <dc:description/>
  <cp:lastModifiedBy>Santosh Kadam/MSE/Regulatory Services</cp:lastModifiedBy>
  <cp:revision>8</cp:revision>
  <cp:lastPrinted>2023-05-03T12:48:00Z</cp:lastPrinted>
  <dcterms:created xsi:type="dcterms:W3CDTF">2023-06-12T06:54:00Z</dcterms:created>
  <dcterms:modified xsi:type="dcterms:W3CDTF">2023-06-12T10:52:00Z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D45D646E18DA638205269174190241</vt:lpwstr>
  </property>
</Properties>
</file>